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31E" w14:textId="77777777" w:rsidR="00D64E50" w:rsidRDefault="00D64E50" w:rsidP="002018F6">
      <w:pPr>
        <w:autoSpaceDE w:val="0"/>
        <w:autoSpaceDN w:val="0"/>
        <w:adjustRightInd w:val="0"/>
        <w:spacing w:before="26" w:after="26" w:line="312" w:lineRule="auto"/>
        <w:jc w:val="center"/>
        <w:rPr>
          <w:b/>
          <w:bCs/>
        </w:rPr>
      </w:pPr>
    </w:p>
    <w:p w14:paraId="7C97D1E1" w14:textId="77777777" w:rsidR="00D64E50" w:rsidRDefault="00D64E50" w:rsidP="002018F6">
      <w:pPr>
        <w:autoSpaceDE w:val="0"/>
        <w:autoSpaceDN w:val="0"/>
        <w:adjustRightInd w:val="0"/>
        <w:spacing w:before="26" w:after="26" w:line="312" w:lineRule="auto"/>
        <w:jc w:val="center"/>
        <w:rPr>
          <w:b/>
          <w:bCs/>
        </w:rPr>
      </w:pPr>
    </w:p>
    <w:p w14:paraId="18355378" w14:textId="280C57FA" w:rsidR="00D97C05" w:rsidRPr="00D77D00" w:rsidRDefault="00D97C05" w:rsidP="002018F6">
      <w:pPr>
        <w:autoSpaceDE w:val="0"/>
        <w:autoSpaceDN w:val="0"/>
        <w:adjustRightInd w:val="0"/>
        <w:spacing w:before="26" w:after="26" w:line="312" w:lineRule="auto"/>
        <w:jc w:val="center"/>
        <w:rPr>
          <w:b/>
          <w:bCs/>
        </w:rPr>
      </w:pPr>
      <w:r w:rsidRPr="00D77D00">
        <w:rPr>
          <w:b/>
          <w:bCs/>
        </w:rPr>
        <w:t>INFORMACJA</w:t>
      </w:r>
    </w:p>
    <w:p w14:paraId="50CFD612" w14:textId="642C3785" w:rsidR="00D04EC3" w:rsidRPr="00D77D00" w:rsidRDefault="00D97C05" w:rsidP="00162957">
      <w:pPr>
        <w:spacing w:before="26" w:after="26" w:line="312" w:lineRule="auto"/>
        <w:jc w:val="center"/>
      </w:pPr>
      <w:r w:rsidRPr="00D77D00">
        <w:rPr>
          <w:b/>
          <w:bCs/>
        </w:rPr>
        <w:t>dla Klientów Banku Spółdzielczego</w:t>
      </w:r>
      <w:r w:rsidR="00162957">
        <w:rPr>
          <w:b/>
        </w:rPr>
        <w:t xml:space="preserve"> </w:t>
      </w:r>
      <w:r w:rsidR="00274489" w:rsidRPr="00D77D00">
        <w:rPr>
          <w:b/>
        </w:rPr>
        <w:t>Grodków – Łosiów z/s w Grodkowie</w:t>
      </w:r>
    </w:p>
    <w:p w14:paraId="50544236" w14:textId="77777777" w:rsidR="00D04EC3" w:rsidRPr="00D77D00" w:rsidRDefault="00B10A03" w:rsidP="002018F6">
      <w:pPr>
        <w:spacing w:before="26" w:after="26" w:line="312" w:lineRule="auto"/>
        <w:jc w:val="center"/>
        <w:rPr>
          <w:b/>
        </w:rPr>
      </w:pPr>
      <w:r w:rsidRPr="00D77D00">
        <w:rPr>
          <w:b/>
        </w:rPr>
        <w:t>[</w:t>
      </w:r>
      <w:r w:rsidR="00F03475" w:rsidRPr="00D77D00">
        <w:rPr>
          <w:b/>
        </w:rPr>
        <w:t xml:space="preserve">Forma </w:t>
      </w:r>
      <w:r w:rsidR="00B45AC1" w:rsidRPr="00D77D00">
        <w:rPr>
          <w:b/>
        </w:rPr>
        <w:t xml:space="preserve">i miejsce </w:t>
      </w:r>
      <w:r w:rsidR="00F03475" w:rsidRPr="00D77D00">
        <w:rPr>
          <w:b/>
        </w:rPr>
        <w:t>złożenia</w:t>
      </w:r>
      <w:r w:rsidRPr="00D77D00">
        <w:rPr>
          <w:b/>
        </w:rPr>
        <w:t xml:space="preserve"> </w:t>
      </w:r>
      <w:r w:rsidR="00D04EC3" w:rsidRPr="00D77D00">
        <w:rPr>
          <w:b/>
        </w:rPr>
        <w:t>reklamacji, skarg, wniosków]</w:t>
      </w:r>
    </w:p>
    <w:p w14:paraId="4B7CEB02" w14:textId="77777777" w:rsidR="00D04EC3" w:rsidRPr="00D77D00" w:rsidRDefault="00D04EC3" w:rsidP="002018F6">
      <w:pPr>
        <w:pStyle w:val="Akapitzlist"/>
        <w:numPr>
          <w:ilvl w:val="3"/>
          <w:numId w:val="2"/>
        </w:numPr>
        <w:spacing w:before="26" w:after="26" w:line="312" w:lineRule="auto"/>
        <w:ind w:left="284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Skargi, reklamacje, wnioski mogą być wnoszone przez klienta:</w:t>
      </w:r>
    </w:p>
    <w:p w14:paraId="125079F4" w14:textId="77777777" w:rsidR="00D04EC3" w:rsidRPr="00D77D00" w:rsidRDefault="00D04EC3" w:rsidP="002018F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before="26" w:after="26" w:line="312" w:lineRule="auto"/>
        <w:ind w:left="709" w:hanging="283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osobiście w formie pisemnej lub ustnej w jednostce bankowej zajmującej się obsługą klienta;</w:t>
      </w:r>
    </w:p>
    <w:p w14:paraId="34635165" w14:textId="77777777" w:rsidR="00D04EC3" w:rsidRPr="00D77D00" w:rsidRDefault="00D04EC3" w:rsidP="002018F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before="26" w:after="26" w:line="312" w:lineRule="auto"/>
        <w:ind w:left="709" w:hanging="283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listownie w formie pisemnej na adres jednostki bankowej zajmującej się obsługą klienta;</w:t>
      </w:r>
    </w:p>
    <w:p w14:paraId="61365BAB" w14:textId="77777777" w:rsidR="00D04EC3" w:rsidRPr="00D77D00" w:rsidRDefault="00D04EC3" w:rsidP="002018F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before="26" w:after="26" w:line="312" w:lineRule="auto"/>
        <w:ind w:left="709" w:hanging="283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 xml:space="preserve">z wykorzystaniem środków komunikacji elektronicznej w formie elektronicznej wysyłając </w:t>
      </w:r>
      <w:r w:rsidR="00D77D00">
        <w:rPr>
          <w:sz w:val="24"/>
          <w:szCs w:val="24"/>
          <w:vertAlign w:val="baseline"/>
        </w:rPr>
        <w:br/>
      </w:r>
      <w:r w:rsidRPr="00D77D00">
        <w:rPr>
          <w:sz w:val="24"/>
          <w:szCs w:val="24"/>
          <w:vertAlign w:val="baseline"/>
        </w:rPr>
        <w:t>e – mail na adres podany na str</w:t>
      </w:r>
      <w:r w:rsidR="00A862CD" w:rsidRPr="00D77D00">
        <w:rPr>
          <w:sz w:val="24"/>
          <w:szCs w:val="24"/>
          <w:vertAlign w:val="baseline"/>
        </w:rPr>
        <w:t>onie internetowej Banku tj. [www.bsgrodkow.pl</w:t>
      </w:r>
      <w:r w:rsidRPr="00D77D00">
        <w:rPr>
          <w:sz w:val="24"/>
          <w:szCs w:val="24"/>
          <w:vertAlign w:val="baseline"/>
        </w:rPr>
        <w:t>];</w:t>
      </w:r>
    </w:p>
    <w:p w14:paraId="7D679000" w14:textId="77777777" w:rsidR="00D04EC3" w:rsidRPr="00D77D00" w:rsidRDefault="00D04EC3" w:rsidP="002018F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before="26" w:after="26" w:line="312" w:lineRule="auto"/>
        <w:ind w:left="709" w:hanging="283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telefonicznie w formie ustnej poprzez kontakt z Call Center, którego numery telefonu podane są na str</w:t>
      </w:r>
      <w:r w:rsidR="00AE1654" w:rsidRPr="00D77D00">
        <w:rPr>
          <w:sz w:val="24"/>
          <w:szCs w:val="24"/>
          <w:vertAlign w:val="baseline"/>
        </w:rPr>
        <w:t>onie internetowej Banku tj. [</w:t>
      </w:r>
      <w:r w:rsidR="00A862CD" w:rsidRPr="00D77D00">
        <w:rPr>
          <w:sz w:val="24"/>
          <w:szCs w:val="24"/>
          <w:vertAlign w:val="baseline"/>
        </w:rPr>
        <w:t>www.bsgrodkow.pl</w:t>
      </w:r>
      <w:r w:rsidR="00AE1654" w:rsidRPr="00D77D00">
        <w:rPr>
          <w:sz w:val="24"/>
          <w:szCs w:val="24"/>
          <w:vertAlign w:val="baseline"/>
        </w:rPr>
        <w:t>];</w:t>
      </w:r>
    </w:p>
    <w:p w14:paraId="090C4AE3" w14:textId="4F00F954" w:rsidR="00AE1654" w:rsidRDefault="00AE1654" w:rsidP="00AE165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beforeLines="26" w:before="62" w:afterLines="26" w:after="62" w:line="312" w:lineRule="auto"/>
        <w:ind w:left="709" w:hanging="283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telefonicznie w formie ustnej na numer telefonu wskazany na stronie internetowej Banku, tj. [</w:t>
      </w:r>
      <w:r w:rsidR="00A862CD" w:rsidRPr="00D77D00">
        <w:rPr>
          <w:sz w:val="24"/>
          <w:szCs w:val="24"/>
          <w:vertAlign w:val="baseline"/>
        </w:rPr>
        <w:t>www.bsgrodkow.pl</w:t>
      </w:r>
      <w:r w:rsidRPr="00D77D00">
        <w:rPr>
          <w:sz w:val="24"/>
          <w:szCs w:val="24"/>
          <w:vertAlign w:val="baseline"/>
        </w:rPr>
        <w:t>]</w:t>
      </w:r>
      <w:r w:rsidR="00835B3C">
        <w:rPr>
          <w:sz w:val="24"/>
          <w:szCs w:val="24"/>
          <w:vertAlign w:val="baseline"/>
        </w:rPr>
        <w:t>;</w:t>
      </w:r>
    </w:p>
    <w:p w14:paraId="7369D997" w14:textId="3A13D07D" w:rsidR="00835B3C" w:rsidRPr="005710ED" w:rsidRDefault="00835B3C" w:rsidP="00AE165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beforeLines="26" w:before="62" w:afterLines="26" w:after="62" w:line="312" w:lineRule="auto"/>
        <w:ind w:left="709" w:hanging="283"/>
        <w:jc w:val="both"/>
        <w:rPr>
          <w:sz w:val="24"/>
          <w:szCs w:val="24"/>
          <w:highlight w:val="yellow"/>
          <w:vertAlign w:val="baseline"/>
        </w:rPr>
      </w:pPr>
      <w:r w:rsidRPr="005710ED">
        <w:rPr>
          <w:sz w:val="24"/>
          <w:szCs w:val="24"/>
          <w:highlight w:val="yellow"/>
          <w:vertAlign w:val="baseline"/>
        </w:rPr>
        <w:t xml:space="preserve">z wykorzystaniem </w:t>
      </w:r>
      <w:r w:rsidR="00162957" w:rsidRPr="005710ED">
        <w:rPr>
          <w:sz w:val="24"/>
          <w:szCs w:val="24"/>
          <w:highlight w:val="yellow"/>
          <w:vertAlign w:val="baseline"/>
        </w:rPr>
        <w:t xml:space="preserve">usługi e-doręczenia </w:t>
      </w:r>
      <w:r w:rsidRPr="005710ED">
        <w:rPr>
          <w:sz w:val="24"/>
          <w:szCs w:val="24"/>
          <w:highlight w:val="yellow"/>
          <w:vertAlign w:val="baseline"/>
        </w:rPr>
        <w:t>wysyłając e-mail na adres skrzynki do elektronicznych doręczeń podany na stronie internetowej Banku</w:t>
      </w:r>
      <w:r w:rsidR="002B7937" w:rsidRPr="005710ED">
        <w:rPr>
          <w:sz w:val="24"/>
          <w:szCs w:val="24"/>
          <w:highlight w:val="yellow"/>
          <w:vertAlign w:val="baseline"/>
        </w:rPr>
        <w:t xml:space="preserve"> </w:t>
      </w:r>
      <w:bookmarkStart w:id="0" w:name="_Hlk139284851"/>
      <w:r w:rsidR="002B7937" w:rsidRPr="005710ED">
        <w:rPr>
          <w:sz w:val="24"/>
          <w:szCs w:val="24"/>
          <w:highlight w:val="yellow"/>
          <w:vertAlign w:val="baseline"/>
        </w:rPr>
        <w:t>[AE:PL-40898-07921-DDJTG-25]</w:t>
      </w:r>
      <w:bookmarkEnd w:id="0"/>
      <w:r w:rsidR="00B04434" w:rsidRPr="005710ED">
        <w:rPr>
          <w:sz w:val="24"/>
          <w:szCs w:val="24"/>
          <w:highlight w:val="yellow"/>
          <w:vertAlign w:val="baseline"/>
        </w:rPr>
        <w:t>.</w:t>
      </w:r>
    </w:p>
    <w:p w14:paraId="37A195BF" w14:textId="77777777" w:rsidR="00D04EC3" w:rsidRPr="00D77D00" w:rsidRDefault="00D04EC3" w:rsidP="002018F6">
      <w:pPr>
        <w:pStyle w:val="Akapitzlist"/>
        <w:numPr>
          <w:ilvl w:val="3"/>
          <w:numId w:val="2"/>
        </w:numPr>
        <w:spacing w:before="26" w:after="26" w:line="312" w:lineRule="auto"/>
        <w:ind w:left="284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 xml:space="preserve">Skargi, reklamacje, </w:t>
      </w:r>
      <w:proofErr w:type="gramStart"/>
      <w:r w:rsidRPr="00D77D00">
        <w:rPr>
          <w:sz w:val="24"/>
          <w:szCs w:val="24"/>
          <w:vertAlign w:val="baseline"/>
        </w:rPr>
        <w:t>wnioski</w:t>
      </w:r>
      <w:proofErr w:type="gramEnd"/>
      <w:r w:rsidRPr="00D77D00">
        <w:rPr>
          <w:sz w:val="24"/>
          <w:szCs w:val="24"/>
          <w:vertAlign w:val="baseline"/>
        </w:rPr>
        <w:t xml:space="preserve"> o których mowa w ust. 1 pkt 1 – 2 mogą być wnoszone przez klienta </w:t>
      </w:r>
      <w:r w:rsidR="00D77D00">
        <w:rPr>
          <w:sz w:val="24"/>
          <w:szCs w:val="24"/>
          <w:vertAlign w:val="baseline"/>
        </w:rPr>
        <w:br/>
      </w:r>
      <w:r w:rsidRPr="00D77D00">
        <w:rPr>
          <w:sz w:val="24"/>
          <w:szCs w:val="24"/>
          <w:vertAlign w:val="baseline"/>
        </w:rPr>
        <w:t>w następujących jednostkach bankowych zajmujących się obsługą klienta:</w:t>
      </w:r>
    </w:p>
    <w:p w14:paraId="4CFA8B77" w14:textId="6A6A3E1A" w:rsidR="00D04EC3" w:rsidRPr="004C3357" w:rsidRDefault="00D64E50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4C3357">
        <w:rPr>
          <w:sz w:val="24"/>
          <w:szCs w:val="24"/>
          <w:vertAlign w:val="baseline"/>
        </w:rPr>
        <w:t>Oddział Banku w Grodkowie</w:t>
      </w:r>
    </w:p>
    <w:p w14:paraId="42C52E38" w14:textId="77777777" w:rsidR="00D04EC3" w:rsidRPr="00D77D00" w:rsidRDefault="00274489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Oddział Banku w Łosiowie;</w:t>
      </w:r>
    </w:p>
    <w:p w14:paraId="218AF9F4" w14:textId="77777777" w:rsidR="00D04EC3" w:rsidRPr="00D77D00" w:rsidRDefault="00D04EC3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 xml:space="preserve">Oddział </w:t>
      </w:r>
      <w:r w:rsidR="00274489" w:rsidRPr="00D77D00">
        <w:rPr>
          <w:sz w:val="24"/>
          <w:szCs w:val="24"/>
          <w:vertAlign w:val="baseline"/>
        </w:rPr>
        <w:t>Banku w Lewinie Brzeskim</w:t>
      </w:r>
      <w:r w:rsidRPr="00D77D00">
        <w:rPr>
          <w:sz w:val="24"/>
          <w:szCs w:val="24"/>
          <w:vertAlign w:val="baseline"/>
        </w:rPr>
        <w:t>;</w:t>
      </w:r>
    </w:p>
    <w:p w14:paraId="6BA3D6C9" w14:textId="77777777" w:rsidR="00274489" w:rsidRPr="00D77D00" w:rsidRDefault="00274489" w:rsidP="00274489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Oddział Banku w Olszance;</w:t>
      </w:r>
    </w:p>
    <w:p w14:paraId="0773D25C" w14:textId="77777777" w:rsidR="00274489" w:rsidRPr="00D77D00" w:rsidRDefault="00274489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Punkt Kasowy w Brzegu</w:t>
      </w:r>
    </w:p>
    <w:p w14:paraId="0159D849" w14:textId="77777777" w:rsidR="00274489" w:rsidRPr="00D77D00" w:rsidRDefault="00274489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Punkt Kasowy w Skarbimierzu</w:t>
      </w:r>
    </w:p>
    <w:p w14:paraId="6ECB1938" w14:textId="77777777" w:rsidR="00D04EC3" w:rsidRPr="00D77D00" w:rsidRDefault="00274489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 xml:space="preserve">Punkt Kasowy w </w:t>
      </w:r>
      <w:proofErr w:type="spellStart"/>
      <w:r w:rsidRPr="00D77D00">
        <w:rPr>
          <w:sz w:val="24"/>
          <w:szCs w:val="24"/>
          <w:vertAlign w:val="baseline"/>
        </w:rPr>
        <w:t>Skorogoszczy</w:t>
      </w:r>
      <w:proofErr w:type="spellEnd"/>
      <w:r w:rsidR="00D04EC3" w:rsidRPr="00D77D00">
        <w:rPr>
          <w:sz w:val="24"/>
          <w:szCs w:val="24"/>
          <w:vertAlign w:val="baseline"/>
        </w:rPr>
        <w:t>;</w:t>
      </w:r>
    </w:p>
    <w:p w14:paraId="00937C19" w14:textId="77777777" w:rsidR="00D04EC3" w:rsidRPr="00D77D00" w:rsidRDefault="00274489" w:rsidP="002018F6">
      <w:pPr>
        <w:pStyle w:val="Akapitzlist"/>
        <w:numPr>
          <w:ilvl w:val="0"/>
          <w:numId w:val="3"/>
        </w:numPr>
        <w:spacing w:before="26" w:after="26" w:line="312" w:lineRule="auto"/>
        <w:jc w:val="both"/>
        <w:rPr>
          <w:sz w:val="24"/>
          <w:szCs w:val="24"/>
          <w:vertAlign w:val="baseline"/>
        </w:rPr>
      </w:pPr>
      <w:r w:rsidRPr="00D77D00">
        <w:rPr>
          <w:sz w:val="24"/>
          <w:szCs w:val="24"/>
          <w:vertAlign w:val="baseline"/>
        </w:rPr>
        <w:t>Punkt Kasowy w Przylesiu</w:t>
      </w:r>
      <w:r w:rsidR="00D04EC3" w:rsidRPr="00D77D00">
        <w:rPr>
          <w:sz w:val="24"/>
          <w:szCs w:val="24"/>
          <w:vertAlign w:val="baseline"/>
        </w:rPr>
        <w:t>;</w:t>
      </w:r>
    </w:p>
    <w:p w14:paraId="350C88C0" w14:textId="77777777" w:rsidR="00D04EC3" w:rsidRPr="00D77D00" w:rsidRDefault="00D04EC3" w:rsidP="002018F6">
      <w:pPr>
        <w:spacing w:before="26" w:after="26" w:line="312" w:lineRule="auto"/>
        <w:jc w:val="center"/>
        <w:rPr>
          <w:b/>
        </w:rPr>
      </w:pPr>
    </w:p>
    <w:p w14:paraId="3CE6F409" w14:textId="77777777" w:rsidR="00D04EC3" w:rsidRDefault="00D04EC3" w:rsidP="002018F6">
      <w:pPr>
        <w:spacing w:before="26" w:after="26" w:line="312" w:lineRule="auto"/>
        <w:jc w:val="center"/>
        <w:rPr>
          <w:b/>
        </w:rPr>
      </w:pPr>
      <w:r w:rsidRPr="00D77D00">
        <w:rPr>
          <w:b/>
        </w:rPr>
        <w:t>[Termin rozpatrzenia skarg, reklamacji, wniosków]</w:t>
      </w:r>
    </w:p>
    <w:p w14:paraId="032CCAC9" w14:textId="77777777" w:rsidR="003F36AC" w:rsidRPr="00982C20" w:rsidRDefault="003F36AC" w:rsidP="003F36AC">
      <w:pPr>
        <w:pStyle w:val="Akapitzlist1"/>
        <w:numPr>
          <w:ilvl w:val="3"/>
          <w:numId w:val="7"/>
        </w:numPr>
        <w:spacing w:after="0"/>
        <w:ind w:left="360"/>
        <w:rPr>
          <w:rFonts w:ascii="Times New Roman" w:hAnsi="Times New Roman"/>
          <w:spacing w:val="-4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>Odpowiedź na skargę, reklamację lub wniosek powinna być udzielona klientowi bez zbędnej zwłoki, jednak nie później niż w terminie:</w:t>
      </w:r>
    </w:p>
    <w:p w14:paraId="686C4427" w14:textId="2A66DDF3" w:rsidR="003F36AC" w:rsidRPr="00982C20" w:rsidRDefault="003F36AC" w:rsidP="003F36AC">
      <w:pPr>
        <w:pStyle w:val="Akapitzlist1"/>
        <w:numPr>
          <w:ilvl w:val="0"/>
          <w:numId w:val="8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 xml:space="preserve">15 dni roboczych od daty jej otrzymania dla reklamacji złożonej przez klienta, związanej </w:t>
      </w:r>
      <w:r w:rsidR="00D64E50">
        <w:rPr>
          <w:rFonts w:ascii="Times New Roman" w:hAnsi="Times New Roman"/>
          <w:sz w:val="24"/>
          <w:szCs w:val="24"/>
        </w:rPr>
        <w:br/>
      </w:r>
      <w:r w:rsidRPr="00982C20">
        <w:rPr>
          <w:rFonts w:ascii="Times New Roman" w:hAnsi="Times New Roman"/>
          <w:sz w:val="24"/>
          <w:szCs w:val="24"/>
        </w:rPr>
        <w:t>z realizacją zlecenia płatniczego oraz wydania karty płatniczej;</w:t>
      </w:r>
    </w:p>
    <w:p w14:paraId="1C7F82C9" w14:textId="475D89BF" w:rsidR="003F36AC" w:rsidRPr="00982C20" w:rsidRDefault="003F36AC" w:rsidP="003F36AC">
      <w:pPr>
        <w:pStyle w:val="Akapitzlist1"/>
        <w:numPr>
          <w:ilvl w:val="0"/>
          <w:numId w:val="8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 xml:space="preserve">30 dni kalendarzowych od daty otrzymania skargi, reklamacji lub wniosku niezwiązanej </w:t>
      </w:r>
      <w:r w:rsidR="00D64E50">
        <w:rPr>
          <w:rFonts w:ascii="Times New Roman" w:hAnsi="Times New Roman"/>
          <w:sz w:val="24"/>
          <w:szCs w:val="24"/>
        </w:rPr>
        <w:br/>
      </w:r>
      <w:r w:rsidRPr="00982C20">
        <w:rPr>
          <w:rFonts w:ascii="Times New Roman" w:hAnsi="Times New Roman"/>
          <w:sz w:val="24"/>
          <w:szCs w:val="24"/>
        </w:rPr>
        <w:t xml:space="preserve">z realizacją zlecenia płatniczego oraz wydania karty płatniczej albo otrzymanych od osoby niebędącej klientem Banku; </w:t>
      </w:r>
    </w:p>
    <w:p w14:paraId="62C911BD" w14:textId="77777777" w:rsidR="003F36AC" w:rsidRPr="00982C20" w:rsidRDefault="003F36AC" w:rsidP="003F36AC">
      <w:pPr>
        <w:pStyle w:val="Akapitzlist1"/>
        <w:numPr>
          <w:ilvl w:val="0"/>
          <w:numId w:val="8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>7 dni kalendarzowych od daty jej otrzymania dla reklamacji złożonej przez osobę, która nie zawarła umowy z Bankiem, albo wobec której nie został wypełniony obowiązek informacyjny o zasadach składania i rozpatrywania reklamacji w Banku;</w:t>
      </w:r>
    </w:p>
    <w:p w14:paraId="56BA6CC1" w14:textId="77777777" w:rsidR="003F36AC" w:rsidRPr="00982C20" w:rsidRDefault="003F36AC" w:rsidP="003F36AC">
      <w:pPr>
        <w:pStyle w:val="Akapitzlist1"/>
        <w:numPr>
          <w:ilvl w:val="0"/>
          <w:numId w:val="8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lastRenderedPageBreak/>
        <w:t>wskazanym przez organ administracyjny (dotyczy np. KNF, Prezesa UOKiK, Rzecznika Finansowego;</w:t>
      </w:r>
    </w:p>
    <w:p w14:paraId="48EB13EF" w14:textId="77777777" w:rsidR="003F36AC" w:rsidRPr="00982C20" w:rsidRDefault="003F36AC" w:rsidP="003F36AC">
      <w:pPr>
        <w:pStyle w:val="Akapitzlist1"/>
        <w:numPr>
          <w:ilvl w:val="0"/>
          <w:numId w:val="8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>wskazanym przez Arbitra Bankowego.</w:t>
      </w:r>
    </w:p>
    <w:p w14:paraId="7D68A045" w14:textId="77777777" w:rsidR="003F36AC" w:rsidRPr="00982C20" w:rsidRDefault="003F36AC" w:rsidP="003F36AC">
      <w:pPr>
        <w:pStyle w:val="Akapitzlist1"/>
        <w:numPr>
          <w:ilvl w:val="3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>W szczególnych przypadkach, termin udzielenia odpowiedzi może zostać wydłużony do:</w:t>
      </w:r>
    </w:p>
    <w:p w14:paraId="31D97F36" w14:textId="77777777" w:rsidR="003F36AC" w:rsidRPr="00982C20" w:rsidRDefault="003F36AC" w:rsidP="003F36AC">
      <w:pPr>
        <w:pStyle w:val="Akapitzlist1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982C20">
        <w:rPr>
          <w:rFonts w:ascii="Times New Roman" w:hAnsi="Times New Roman"/>
          <w:sz w:val="24"/>
          <w:szCs w:val="24"/>
        </w:rPr>
        <w:t xml:space="preserve">35 dni roboczych dla reklamacji, złożonej przez Klienta, związanej z realizacją zlecenia płatniczego oraz wydania karty płatniczej, w szczególności reklamacji kartowych rozpatrywanych przy udziale Visa lub </w:t>
      </w:r>
      <w:proofErr w:type="spellStart"/>
      <w:r w:rsidRPr="00982C20">
        <w:rPr>
          <w:rFonts w:ascii="Times New Roman" w:hAnsi="Times New Roman"/>
          <w:sz w:val="24"/>
          <w:szCs w:val="24"/>
        </w:rPr>
        <w:t>MasterCard</w:t>
      </w:r>
      <w:proofErr w:type="spellEnd"/>
      <w:r w:rsidRPr="00982C20">
        <w:rPr>
          <w:rFonts w:ascii="Times New Roman" w:hAnsi="Times New Roman"/>
          <w:sz w:val="24"/>
          <w:szCs w:val="24"/>
        </w:rPr>
        <w:t>;</w:t>
      </w:r>
    </w:p>
    <w:p w14:paraId="7FF2161A" w14:textId="77777777" w:rsidR="003F36AC" w:rsidRPr="00982C20" w:rsidRDefault="003F36AC" w:rsidP="003F36AC">
      <w:pPr>
        <w:numPr>
          <w:ilvl w:val="0"/>
          <w:numId w:val="9"/>
        </w:numPr>
        <w:suppressAutoHyphens/>
        <w:spacing w:after="120"/>
        <w:jc w:val="both"/>
      </w:pPr>
      <w:r w:rsidRPr="00982C20">
        <w:t>60 dni kalendarzowych od daty otrzymania reklamacji niezwiązanej z realizacją zlecenia płatniczego oraz wydania karty płatniczej albo otrzymanych od osoby niebędącej Klientem Banku.</w:t>
      </w:r>
    </w:p>
    <w:p w14:paraId="0546DB56" w14:textId="77777777" w:rsidR="003F36AC" w:rsidRPr="00982C20" w:rsidRDefault="003F36AC" w:rsidP="003F36AC">
      <w:pPr>
        <w:pStyle w:val="Akapitzlist"/>
        <w:numPr>
          <w:ilvl w:val="3"/>
          <w:numId w:val="7"/>
        </w:numPr>
        <w:suppressAutoHyphens/>
        <w:spacing w:after="120" w:line="276" w:lineRule="auto"/>
        <w:jc w:val="both"/>
        <w:rPr>
          <w:sz w:val="24"/>
          <w:szCs w:val="24"/>
          <w:vertAlign w:val="baseline"/>
        </w:rPr>
      </w:pPr>
      <w:r w:rsidRPr="00982C20">
        <w:rPr>
          <w:sz w:val="24"/>
          <w:szCs w:val="24"/>
          <w:vertAlign w:val="baseline"/>
        </w:rPr>
        <w:t>W przypadku, uzasadnionej niemożności udzielenia odpowiedzi w terminach wskazanych w ust 1, pracownik udzielający odpowiedzi:</w:t>
      </w:r>
    </w:p>
    <w:p w14:paraId="0A591756" w14:textId="77777777" w:rsidR="003F36AC" w:rsidRPr="00982C20" w:rsidRDefault="003F36AC" w:rsidP="003F36AC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sz w:val="24"/>
          <w:szCs w:val="24"/>
          <w:vertAlign w:val="baseline"/>
        </w:rPr>
      </w:pPr>
      <w:r w:rsidRPr="00982C20">
        <w:rPr>
          <w:sz w:val="24"/>
          <w:szCs w:val="24"/>
          <w:vertAlign w:val="baseline"/>
        </w:rPr>
        <w:t>informuje klienta o konieczności wydłużenia terminu odpowiedzi;</w:t>
      </w:r>
    </w:p>
    <w:p w14:paraId="16E0EE59" w14:textId="77777777" w:rsidR="003F36AC" w:rsidRPr="00982C20" w:rsidRDefault="003F36AC" w:rsidP="003F36AC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sz w:val="24"/>
          <w:szCs w:val="24"/>
          <w:vertAlign w:val="baseline"/>
        </w:rPr>
      </w:pPr>
      <w:r w:rsidRPr="00982C20">
        <w:rPr>
          <w:sz w:val="24"/>
          <w:szCs w:val="24"/>
          <w:vertAlign w:val="baseline"/>
        </w:rPr>
        <w:t>podaje przyczyny opóźnienia;</w:t>
      </w:r>
    </w:p>
    <w:p w14:paraId="4E249756" w14:textId="77777777" w:rsidR="003F36AC" w:rsidRPr="00982C20" w:rsidRDefault="003F36AC" w:rsidP="003F36AC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sz w:val="24"/>
          <w:szCs w:val="24"/>
          <w:vertAlign w:val="baseline"/>
        </w:rPr>
      </w:pPr>
      <w:r w:rsidRPr="00982C20">
        <w:rPr>
          <w:sz w:val="24"/>
          <w:szCs w:val="24"/>
          <w:vertAlign w:val="baseline"/>
        </w:rPr>
        <w:t>wskazuje okoliczności, które muszą zostać ustalone;</w:t>
      </w:r>
    </w:p>
    <w:p w14:paraId="6CCE9143" w14:textId="77777777" w:rsidR="003F36AC" w:rsidRPr="00982C20" w:rsidRDefault="003F36AC" w:rsidP="003F36AC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sz w:val="24"/>
          <w:szCs w:val="24"/>
          <w:vertAlign w:val="baseline"/>
        </w:rPr>
      </w:pPr>
      <w:r w:rsidRPr="00982C20">
        <w:rPr>
          <w:sz w:val="24"/>
          <w:szCs w:val="24"/>
          <w:vertAlign w:val="baseline"/>
        </w:rPr>
        <w:t>określa przewidywany termin udzielenia odpowiedzi, który nie może przekroczyć 35 dni roboczych dla reklamacji związanych z realizacją zlecenia płatniczego oraz 60 dni kalendarzowych dla pozostałych reklamacji.</w:t>
      </w:r>
    </w:p>
    <w:p w14:paraId="4BA79B12" w14:textId="77777777" w:rsidR="003F36AC" w:rsidRPr="009468EC" w:rsidRDefault="003F36AC" w:rsidP="003F36AC">
      <w:pPr>
        <w:pStyle w:val="Akapitzlist1"/>
        <w:numPr>
          <w:ilvl w:val="3"/>
          <w:numId w:val="7"/>
        </w:numPr>
        <w:spacing w:after="0"/>
        <w:ind w:left="360"/>
        <w:rPr>
          <w:rFonts w:ascii="Times New Roman" w:hAnsi="Times New Roman"/>
          <w:spacing w:val="-4"/>
          <w:sz w:val="24"/>
          <w:szCs w:val="24"/>
        </w:rPr>
      </w:pPr>
      <w:r w:rsidRPr="009468EC">
        <w:rPr>
          <w:rFonts w:ascii="Times New Roman" w:hAnsi="Times New Roman"/>
          <w:sz w:val="24"/>
          <w:szCs w:val="24"/>
        </w:rPr>
        <w:t>Za szczególnie skomplikowane przypadki uznaje się konieczność uzyskania przez Bank dodatkowych informacji/dokumentów od podmiotu trzeciego współpracującego z Bankiem niezbędnych do rozpatrzenia skargi, reklamacji lub wniosku.</w:t>
      </w:r>
    </w:p>
    <w:p w14:paraId="77F4D262" w14:textId="77777777" w:rsidR="003F36AC" w:rsidRPr="00096C74" w:rsidRDefault="003F36AC" w:rsidP="003F36AC">
      <w:pPr>
        <w:pStyle w:val="Akapitzlist1"/>
        <w:numPr>
          <w:ilvl w:val="3"/>
          <w:numId w:val="7"/>
        </w:numPr>
        <w:spacing w:after="0"/>
        <w:ind w:left="360"/>
        <w:rPr>
          <w:rFonts w:ascii="Times New Roman" w:hAnsi="Times New Roman"/>
          <w:spacing w:val="-4"/>
          <w:sz w:val="24"/>
          <w:szCs w:val="24"/>
        </w:rPr>
      </w:pPr>
      <w:r w:rsidRPr="009468EC">
        <w:rPr>
          <w:rFonts w:ascii="Times New Roman" w:hAnsi="Times New Roman"/>
          <w:sz w:val="24"/>
          <w:szCs w:val="24"/>
        </w:rPr>
        <w:t xml:space="preserve"> Do zachowania </w:t>
      </w:r>
      <w:proofErr w:type="gramStart"/>
      <w:r w:rsidRPr="009468EC">
        <w:rPr>
          <w:rFonts w:ascii="Times New Roman" w:hAnsi="Times New Roman"/>
          <w:sz w:val="24"/>
          <w:szCs w:val="24"/>
        </w:rPr>
        <w:t>terminów</w:t>
      </w:r>
      <w:proofErr w:type="gramEnd"/>
      <w:r w:rsidRPr="009468EC">
        <w:rPr>
          <w:rFonts w:ascii="Times New Roman" w:hAnsi="Times New Roman"/>
          <w:sz w:val="24"/>
          <w:szCs w:val="24"/>
        </w:rPr>
        <w:t xml:space="preserve"> o których mowa powyżej wystarczy wysłanie odpowiedzi przed ich upływem.</w:t>
      </w:r>
    </w:p>
    <w:p w14:paraId="0637F96F" w14:textId="77777777" w:rsidR="00EF14A5" w:rsidRPr="00096C74" w:rsidRDefault="003F36AC" w:rsidP="00096C74">
      <w:pPr>
        <w:pStyle w:val="Akapitzlist1"/>
        <w:numPr>
          <w:ilvl w:val="3"/>
          <w:numId w:val="7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096C74">
        <w:rPr>
          <w:rFonts w:ascii="Times New Roman" w:hAnsi="Times New Roman"/>
          <w:sz w:val="24"/>
          <w:szCs w:val="24"/>
        </w:rPr>
        <w:t>W przypadku niedotrzymania terminu określonego w ust. 1-3 skargę, reklamację lub wniosek uznaje się rozpatrzony zgodnie z wolą klienta.</w:t>
      </w:r>
    </w:p>
    <w:p w14:paraId="2C68C64E" w14:textId="77777777" w:rsidR="00096C74" w:rsidRPr="00096C74" w:rsidRDefault="00096C74" w:rsidP="00096C74">
      <w:pPr>
        <w:pStyle w:val="Akapitzlist1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4A8C73E7" w14:textId="77777777" w:rsidR="00D04EC3" w:rsidRPr="00D77D00" w:rsidRDefault="00D04EC3" w:rsidP="002018F6">
      <w:pPr>
        <w:pStyle w:val="Akapitzlist1"/>
        <w:spacing w:before="26" w:after="26" w:line="312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77D00">
        <w:rPr>
          <w:rFonts w:ascii="Times New Roman" w:hAnsi="Times New Roman"/>
          <w:b/>
          <w:sz w:val="24"/>
          <w:szCs w:val="24"/>
        </w:rPr>
        <w:t>[Sposób powiadomienia o rozpatrzeniu skargi, reklamacji, wniosków]</w:t>
      </w:r>
    </w:p>
    <w:p w14:paraId="09474F65" w14:textId="77777777" w:rsidR="00D04EC3" w:rsidRPr="00D77D00" w:rsidRDefault="00D04EC3" w:rsidP="002018F6">
      <w:pPr>
        <w:pStyle w:val="Akapitzlist1"/>
        <w:numPr>
          <w:ilvl w:val="0"/>
          <w:numId w:val="5"/>
        </w:numPr>
        <w:spacing w:before="26" w:after="26" w:line="312" w:lineRule="auto"/>
        <w:ind w:left="357" w:hanging="357"/>
        <w:rPr>
          <w:rFonts w:ascii="Times New Roman" w:hAnsi="Times New Roman"/>
          <w:spacing w:val="-4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t xml:space="preserve">Odpowiedź na skargę, reklamację, wniosek udzielana jest </w:t>
      </w:r>
      <w:r w:rsidR="00D5250F" w:rsidRPr="00D77D00">
        <w:rPr>
          <w:rFonts w:ascii="Times New Roman" w:hAnsi="Times New Roman"/>
          <w:sz w:val="24"/>
          <w:szCs w:val="24"/>
        </w:rPr>
        <w:t xml:space="preserve">w formie pisemnej </w:t>
      </w:r>
      <w:r w:rsidRPr="00D77D00">
        <w:rPr>
          <w:rFonts w:ascii="Times New Roman" w:hAnsi="Times New Roman"/>
          <w:sz w:val="24"/>
          <w:szCs w:val="24"/>
        </w:rPr>
        <w:t>lub za pomocą innego trwałego nośnika informacji i wysłana:</w:t>
      </w:r>
    </w:p>
    <w:p w14:paraId="0FBD8D71" w14:textId="77777777" w:rsidR="00D04EC3" w:rsidRPr="00D77D00" w:rsidRDefault="00D04EC3" w:rsidP="002018F6">
      <w:pPr>
        <w:pStyle w:val="Akapitzlist1"/>
        <w:numPr>
          <w:ilvl w:val="0"/>
          <w:numId w:val="6"/>
        </w:numPr>
        <w:spacing w:before="26" w:after="26" w:line="312" w:lineRule="auto"/>
        <w:rPr>
          <w:rFonts w:ascii="Times New Roman" w:hAnsi="Times New Roman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t xml:space="preserve">listem poleconym na adres korespondencyjny podany przez klienta z zastrzeżeniem ust. 3 </w:t>
      </w:r>
      <w:r w:rsidR="0035200C" w:rsidRPr="00D77D00">
        <w:rPr>
          <w:rFonts w:ascii="Times New Roman" w:hAnsi="Times New Roman"/>
          <w:sz w:val="24"/>
          <w:szCs w:val="24"/>
        </w:rPr>
        <w:t>– 5</w:t>
      </w:r>
      <w:r w:rsidRPr="00D77D00">
        <w:rPr>
          <w:rFonts w:ascii="Times New Roman" w:hAnsi="Times New Roman"/>
          <w:sz w:val="24"/>
          <w:szCs w:val="24"/>
        </w:rPr>
        <w:t xml:space="preserve"> lub </w:t>
      </w:r>
    </w:p>
    <w:p w14:paraId="75E7E0EB" w14:textId="52B21CC1" w:rsidR="00D04EC3" w:rsidRPr="004C3357" w:rsidRDefault="00D04EC3" w:rsidP="002018F6">
      <w:pPr>
        <w:pStyle w:val="Akapitzlist1"/>
        <w:numPr>
          <w:ilvl w:val="0"/>
          <w:numId w:val="6"/>
        </w:numPr>
        <w:spacing w:before="26" w:after="26" w:line="312" w:lineRule="auto"/>
        <w:rPr>
          <w:rFonts w:ascii="Times New Roman" w:hAnsi="Times New Roman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t xml:space="preserve">wyłącznie na wniosek klienta z wykorzystaniem środków komunikacji elektronicznej na adres mailowy, z którego skarga, reklamacja, wniosek została wysłana, chyba że klient podał w </w:t>
      </w:r>
      <w:r w:rsidRPr="004C3357">
        <w:rPr>
          <w:rFonts w:ascii="Times New Roman" w:hAnsi="Times New Roman"/>
          <w:sz w:val="24"/>
          <w:szCs w:val="24"/>
        </w:rPr>
        <w:t>skardze, reklamacji, wniosku inny adres mailowy, poprzez załączenie skanu odpowiedzi</w:t>
      </w:r>
      <w:r w:rsidR="00967071" w:rsidRPr="004C3357">
        <w:rPr>
          <w:rFonts w:ascii="Times New Roman" w:hAnsi="Times New Roman"/>
          <w:sz w:val="24"/>
          <w:szCs w:val="24"/>
        </w:rPr>
        <w:t>;</w:t>
      </w:r>
    </w:p>
    <w:p w14:paraId="1605F879" w14:textId="0C3F6EAB" w:rsidR="00967071" w:rsidRPr="005710ED" w:rsidRDefault="00967071" w:rsidP="000A2F3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5710ED">
        <w:rPr>
          <w:rFonts w:ascii="Times New Roman" w:hAnsi="Times New Roman"/>
          <w:sz w:val="24"/>
          <w:szCs w:val="24"/>
          <w:highlight w:val="yellow"/>
        </w:rPr>
        <w:t xml:space="preserve">wyłącznie na wniosek klienta </w:t>
      </w:r>
      <w:proofErr w:type="gramStart"/>
      <w:r w:rsidRPr="005710ED">
        <w:rPr>
          <w:rFonts w:ascii="Times New Roman" w:hAnsi="Times New Roman"/>
          <w:sz w:val="24"/>
          <w:szCs w:val="24"/>
          <w:highlight w:val="yellow"/>
        </w:rPr>
        <w:t>z  wykorzystaniem</w:t>
      </w:r>
      <w:proofErr w:type="gramEnd"/>
      <w:r w:rsidRPr="005710ED">
        <w:rPr>
          <w:rFonts w:ascii="Times New Roman" w:hAnsi="Times New Roman"/>
          <w:sz w:val="24"/>
          <w:szCs w:val="24"/>
          <w:highlight w:val="yellow"/>
        </w:rPr>
        <w:t xml:space="preserve"> adresu do doręczeń elektronicznych</w:t>
      </w:r>
      <w:r w:rsidR="000A2F38" w:rsidRPr="005710ED">
        <w:rPr>
          <w:rFonts w:ascii="Times New Roman" w:hAnsi="Times New Roman"/>
          <w:sz w:val="24"/>
          <w:szCs w:val="24"/>
          <w:highlight w:val="yellow"/>
        </w:rPr>
        <w:t>, z którego skarga, reklamacja lub wniosek zostały wysłane.</w:t>
      </w:r>
    </w:p>
    <w:p w14:paraId="7885562F" w14:textId="77777777" w:rsidR="000A2F38" w:rsidRPr="000A2F38" w:rsidRDefault="000A2F38" w:rsidP="000A2F38">
      <w:pPr>
        <w:pStyle w:val="Akapitzlist1"/>
        <w:spacing w:after="0" w:line="240" w:lineRule="auto"/>
        <w:ind w:left="717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5BAC9267" w14:textId="77777777" w:rsidR="00D04EC3" w:rsidRPr="00D77D00" w:rsidRDefault="00D04EC3" w:rsidP="002018F6">
      <w:pPr>
        <w:pStyle w:val="Akapitzlist1"/>
        <w:numPr>
          <w:ilvl w:val="0"/>
          <w:numId w:val="5"/>
        </w:numPr>
        <w:spacing w:before="26" w:after="26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t xml:space="preserve">W odniesieniu do klientów Banku, adres korespondencyjny, o którym mowa w ust. 1 pkt 1 powinien być zgodny z adresem wskazanym w umowie zawartej z klientem, którego dotyczy skarga, reklamacja, wniosek. </w:t>
      </w:r>
    </w:p>
    <w:p w14:paraId="06795D27" w14:textId="77777777" w:rsidR="00D04EC3" w:rsidRPr="00D77D00" w:rsidRDefault="00D04EC3" w:rsidP="002018F6">
      <w:pPr>
        <w:pStyle w:val="Akapitzlist1"/>
        <w:numPr>
          <w:ilvl w:val="0"/>
          <w:numId w:val="5"/>
        </w:numPr>
        <w:spacing w:before="26" w:after="26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lastRenderedPageBreak/>
        <w:t>W przypadku braku zgodności adresu korespondencyjnego, o którym mowa w ust. 1 pkt 1 odpowiedź przesłana zostanie na adres wskazany w umowie zawartej z klientem, którego dotyczy skarga, reklamacja, wniosek.</w:t>
      </w:r>
    </w:p>
    <w:p w14:paraId="78F74B93" w14:textId="77777777" w:rsidR="00D04EC3" w:rsidRPr="00D77D00" w:rsidRDefault="00D04EC3" w:rsidP="002018F6">
      <w:pPr>
        <w:pStyle w:val="Akapitzlist1"/>
        <w:numPr>
          <w:ilvl w:val="0"/>
          <w:numId w:val="5"/>
        </w:numPr>
        <w:spacing w:before="26" w:after="26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t xml:space="preserve">W przypadku </w:t>
      </w:r>
      <w:proofErr w:type="gramStart"/>
      <w:r w:rsidRPr="00D77D00">
        <w:rPr>
          <w:rFonts w:ascii="Times New Roman" w:hAnsi="Times New Roman"/>
          <w:sz w:val="24"/>
          <w:szCs w:val="24"/>
        </w:rPr>
        <w:t>nie podania</w:t>
      </w:r>
      <w:proofErr w:type="gramEnd"/>
      <w:r w:rsidRPr="00D77D00">
        <w:rPr>
          <w:rFonts w:ascii="Times New Roman" w:hAnsi="Times New Roman"/>
          <w:sz w:val="24"/>
          <w:szCs w:val="24"/>
        </w:rPr>
        <w:t xml:space="preserve"> przez klienta adresu korespondencyjnego oraz braku adresu w umowie zawartej z klientem skarga, reklamacja, wniosek pozostanie do odbioru w Centrali</w:t>
      </w:r>
      <w:r w:rsidR="003F36AC">
        <w:rPr>
          <w:rFonts w:ascii="Times New Roman" w:hAnsi="Times New Roman"/>
          <w:sz w:val="24"/>
          <w:szCs w:val="24"/>
        </w:rPr>
        <w:t xml:space="preserve"> Banku</w:t>
      </w:r>
      <w:r w:rsidRPr="00D77D00">
        <w:rPr>
          <w:rFonts w:ascii="Times New Roman" w:hAnsi="Times New Roman"/>
          <w:sz w:val="24"/>
          <w:szCs w:val="24"/>
        </w:rPr>
        <w:t>.</w:t>
      </w:r>
    </w:p>
    <w:p w14:paraId="421B3F43" w14:textId="77777777" w:rsidR="00D04EC3" w:rsidRDefault="00D04EC3" w:rsidP="002018F6">
      <w:pPr>
        <w:pStyle w:val="Akapitzlist1"/>
        <w:numPr>
          <w:ilvl w:val="0"/>
          <w:numId w:val="5"/>
        </w:numPr>
        <w:spacing w:before="26" w:after="26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D77D00">
        <w:rPr>
          <w:rFonts w:ascii="Times New Roman" w:hAnsi="Times New Roman"/>
          <w:sz w:val="24"/>
          <w:szCs w:val="24"/>
        </w:rPr>
        <w:t>W odniesieniu do klientów, którzy nie zawarli z Bankiem umowy, a złożyli skargę, reklamację, wniosek odpowiedź wysyłana jest na adres wskazany w skardze, reklamacji, wniosku lub adres mailowy, o którym mowa w ust. 1 pkt 2. Postanowienie ust. 4 stosuje się odpowiednio.</w:t>
      </w:r>
    </w:p>
    <w:p w14:paraId="2B10A99D" w14:textId="77777777" w:rsidR="00B11C08" w:rsidRPr="00B11C08" w:rsidRDefault="00B11C08" w:rsidP="00B11C08">
      <w:pPr>
        <w:pStyle w:val="Akapitzlist1"/>
        <w:numPr>
          <w:ilvl w:val="0"/>
          <w:numId w:val="5"/>
        </w:numPr>
        <w:spacing w:before="26" w:after="26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B11C08">
        <w:rPr>
          <w:rFonts w:ascii="Times New Roman" w:hAnsi="Times New Roman"/>
          <w:sz w:val="24"/>
          <w:szCs w:val="24"/>
          <w:highlight w:val="yellow"/>
        </w:rPr>
        <w:t>Skargę na brak dostępności pozostawia się bez rozpatrzenia, jeśli nie zawiera:</w:t>
      </w:r>
    </w:p>
    <w:p w14:paraId="6E060CC3" w14:textId="7A8A3053" w:rsidR="00B11C08" w:rsidRPr="00AF1CB2" w:rsidRDefault="00B11C08" w:rsidP="00AF1CB2">
      <w:pPr>
        <w:numPr>
          <w:ilvl w:val="0"/>
          <w:numId w:val="11"/>
        </w:numPr>
        <w:suppressAutoHyphens/>
        <w:spacing w:after="120"/>
        <w:ind w:left="709" w:hanging="283"/>
        <w:jc w:val="both"/>
        <w:rPr>
          <w:highlight w:val="yellow"/>
        </w:rPr>
      </w:pPr>
      <w:r w:rsidRPr="00B11C08">
        <w:rPr>
          <w:highlight w:val="yellow"/>
        </w:rPr>
        <w:t>imienia i nazwiska Konsumenta;</w:t>
      </w:r>
    </w:p>
    <w:p w14:paraId="0E96758C" w14:textId="77777777" w:rsidR="00B11C08" w:rsidRPr="00B11C08" w:rsidRDefault="00B11C08" w:rsidP="00B11C08">
      <w:pPr>
        <w:numPr>
          <w:ilvl w:val="0"/>
          <w:numId w:val="11"/>
        </w:numPr>
        <w:suppressAutoHyphens/>
        <w:spacing w:after="120"/>
        <w:ind w:left="709" w:hanging="283"/>
        <w:jc w:val="both"/>
        <w:rPr>
          <w:highlight w:val="yellow"/>
        </w:rPr>
      </w:pPr>
      <w:r w:rsidRPr="00B11C08">
        <w:rPr>
          <w:highlight w:val="yellow"/>
        </w:rPr>
        <w:t>adresu do korespondencji, adresu e-mail ani numeru telefonu wraz ze wskazaniem preferowanego sposobu kontaktu z Konsumentem;</w:t>
      </w:r>
    </w:p>
    <w:p w14:paraId="3D282811" w14:textId="77777777" w:rsidR="00B11C08" w:rsidRPr="00B11C08" w:rsidRDefault="00B11C08" w:rsidP="00B11C08">
      <w:pPr>
        <w:numPr>
          <w:ilvl w:val="0"/>
          <w:numId w:val="11"/>
        </w:numPr>
        <w:suppressAutoHyphens/>
        <w:spacing w:after="120"/>
        <w:ind w:left="709" w:hanging="283"/>
        <w:jc w:val="both"/>
        <w:rPr>
          <w:highlight w:val="yellow"/>
        </w:rPr>
      </w:pPr>
      <w:r w:rsidRPr="00B11C08">
        <w:rPr>
          <w:highlight w:val="yellow"/>
        </w:rPr>
        <w:t>wskazania produktu albo usługi, których dotyczy Skarga;</w:t>
      </w:r>
    </w:p>
    <w:p w14:paraId="4895F475" w14:textId="77777777" w:rsidR="00B11C08" w:rsidRDefault="00B11C08" w:rsidP="00B11C08">
      <w:pPr>
        <w:numPr>
          <w:ilvl w:val="0"/>
          <w:numId w:val="11"/>
        </w:numPr>
        <w:suppressAutoHyphens/>
        <w:spacing w:after="120"/>
        <w:ind w:left="709" w:hanging="283"/>
        <w:jc w:val="both"/>
        <w:rPr>
          <w:highlight w:val="yellow"/>
        </w:rPr>
      </w:pPr>
      <w:r w:rsidRPr="00B11C08">
        <w:rPr>
          <w:highlight w:val="yellow"/>
        </w:rPr>
        <w:t>wskazania wymagania dostępności, którego nie spełniają produkt albo usługa, wraz z żądaniem zapewnienia jego spełniania przez Bank.</w:t>
      </w:r>
    </w:p>
    <w:p w14:paraId="3E355E0F" w14:textId="226CDC03" w:rsidR="00B11C08" w:rsidRPr="00B11C08" w:rsidRDefault="00B11C08" w:rsidP="00B11C08">
      <w:pPr>
        <w:suppressAutoHyphens/>
        <w:spacing w:after="120"/>
        <w:ind w:left="284" w:hanging="284"/>
        <w:jc w:val="both"/>
        <w:rPr>
          <w:highlight w:val="yellow"/>
        </w:rPr>
      </w:pPr>
      <w:r w:rsidRPr="00B11C08">
        <w:rPr>
          <w:highlight w:val="yellow"/>
        </w:rPr>
        <w:t>7.</w:t>
      </w:r>
      <w:r>
        <w:rPr>
          <w:highlight w:val="yellow"/>
        </w:rPr>
        <w:t xml:space="preserve"> </w:t>
      </w:r>
      <w:r w:rsidRPr="00B11C08">
        <w:rPr>
          <w:highlight w:val="yellow"/>
        </w:rPr>
        <w:t xml:space="preserve">Jeśli Bank otrzyma Skargę bez braków wskazanych w ust. </w:t>
      </w:r>
      <w:r w:rsidR="00AF1CB2">
        <w:rPr>
          <w:highlight w:val="yellow"/>
        </w:rPr>
        <w:t>6</w:t>
      </w:r>
      <w:r w:rsidRPr="00B11C08">
        <w:rPr>
          <w:highlight w:val="yellow"/>
        </w:rPr>
        <w:t>, musi na nią odpowiedzieć, informując o wynikach rozpatrzenia i podjętych działaniach</w:t>
      </w:r>
      <w:r w:rsidR="00AF1CB2">
        <w:rPr>
          <w:highlight w:val="yellow"/>
        </w:rPr>
        <w:t>.</w:t>
      </w:r>
      <w:r w:rsidRPr="00B11C08">
        <w:rPr>
          <w:highlight w:val="yellow"/>
        </w:rPr>
        <w:t xml:space="preserve"> Odpowiedź powinna być zrozumiała </w:t>
      </w:r>
      <w:r w:rsidR="00AF1CB2">
        <w:rPr>
          <w:highlight w:val="yellow"/>
        </w:rPr>
        <w:br/>
      </w:r>
      <w:r w:rsidRPr="00B11C08">
        <w:rPr>
          <w:highlight w:val="yellow"/>
        </w:rPr>
        <w:t>i dostosowana do potrzeb osoby składającej Skargę.</w:t>
      </w:r>
    </w:p>
    <w:p w14:paraId="38E8F49D" w14:textId="4944DA75" w:rsidR="00B11C08" w:rsidRDefault="00B11C08" w:rsidP="00B11C08">
      <w:pPr>
        <w:suppressAutoHyphens/>
        <w:spacing w:after="120"/>
        <w:ind w:left="284" w:hanging="284"/>
        <w:jc w:val="both"/>
        <w:rPr>
          <w:highlight w:val="yellow"/>
        </w:rPr>
      </w:pPr>
      <w:r>
        <w:rPr>
          <w:highlight w:val="yellow"/>
        </w:rPr>
        <w:t xml:space="preserve">8. </w:t>
      </w:r>
      <w:r w:rsidRPr="00B11C08">
        <w:rPr>
          <w:highlight w:val="yellow"/>
        </w:rPr>
        <w:t>Odpowiedź na Skargę powinna zostać przekazana w sposób preferowany przez Konsumenta, zgodnie z informacją zawartą w Skardze.</w:t>
      </w:r>
    </w:p>
    <w:p w14:paraId="5BFCF31D" w14:textId="22989BD5" w:rsidR="00B11C08" w:rsidRPr="00B11C08" w:rsidRDefault="00B11C08" w:rsidP="00B11C08">
      <w:pPr>
        <w:suppressAutoHyphens/>
        <w:spacing w:after="120"/>
        <w:ind w:left="284" w:hanging="284"/>
        <w:jc w:val="both"/>
        <w:rPr>
          <w:highlight w:val="yellow"/>
        </w:rPr>
      </w:pPr>
      <w:r>
        <w:rPr>
          <w:highlight w:val="yellow"/>
        </w:rPr>
        <w:t xml:space="preserve">9. </w:t>
      </w:r>
      <w:r w:rsidRPr="00B11C08">
        <w:rPr>
          <w:highlight w:val="yellow"/>
        </w:rPr>
        <w:t>Jeśli Bank uzna Skargę za zasadną, powinien podjąć działania naprawcze, zgodnie z żądaniem zawartym w Skardze, np. usunąć bariery architektoniczne, informacyjne lub technologiczne. Może to oznaczać, w zależności od sytuacji, np. dostosowanie placówek, stron internetowych, aplikacji, dokumentów lub procedur do potrzeb osób z indywidualnymi potrzebami</w:t>
      </w:r>
      <w:r w:rsidR="005710ED">
        <w:rPr>
          <w:highlight w:val="yellow"/>
        </w:rPr>
        <w:t>.</w:t>
      </w:r>
    </w:p>
    <w:p w14:paraId="52769A77" w14:textId="77777777" w:rsidR="00B11C08" w:rsidRPr="00B11C08" w:rsidRDefault="00B11C08" w:rsidP="00B11C08">
      <w:pPr>
        <w:pStyle w:val="Akapitzlist1"/>
        <w:spacing w:before="26" w:after="26" w:line="312" w:lineRule="auto"/>
        <w:ind w:left="0"/>
        <w:rPr>
          <w:rFonts w:ascii="Times New Roman" w:hAnsi="Times New Roman"/>
          <w:sz w:val="24"/>
          <w:szCs w:val="24"/>
        </w:rPr>
      </w:pPr>
    </w:p>
    <w:p w14:paraId="2A56C6BB" w14:textId="77777777" w:rsidR="00A01D45" w:rsidRPr="00B11C08" w:rsidRDefault="00A01D45" w:rsidP="002018F6">
      <w:pPr>
        <w:spacing w:before="26" w:after="26" w:line="312" w:lineRule="auto"/>
      </w:pPr>
    </w:p>
    <w:p w14:paraId="5E12C228" w14:textId="77777777" w:rsidR="00BB3D52" w:rsidRPr="00B11C08" w:rsidRDefault="00BB3D52" w:rsidP="00BB3D52">
      <w:pPr>
        <w:spacing w:before="26" w:after="26" w:line="312" w:lineRule="auto"/>
        <w:ind w:left="357" w:hanging="357"/>
        <w:jc w:val="both"/>
        <w:rPr>
          <w:b/>
          <w:strike/>
        </w:rPr>
      </w:pPr>
    </w:p>
    <w:sectPr w:rsidR="00BB3D52" w:rsidRPr="00B11C08" w:rsidSect="00AF1CB2">
      <w:headerReference w:type="first" r:id="rId11"/>
      <w:pgSz w:w="11906" w:h="16838"/>
      <w:pgMar w:top="1440" w:right="1080" w:bottom="1440" w:left="10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9CA8C" w14:textId="77777777" w:rsidR="00C61968" w:rsidRDefault="00C61968" w:rsidP="00D04EC3">
      <w:r>
        <w:separator/>
      </w:r>
    </w:p>
  </w:endnote>
  <w:endnote w:type="continuationSeparator" w:id="0">
    <w:p w14:paraId="4A74C01D" w14:textId="77777777" w:rsidR="00C61968" w:rsidRDefault="00C61968" w:rsidP="00D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2A02" w14:textId="77777777" w:rsidR="00C61968" w:rsidRDefault="00C61968" w:rsidP="00D04EC3">
      <w:r>
        <w:separator/>
      </w:r>
    </w:p>
  </w:footnote>
  <w:footnote w:type="continuationSeparator" w:id="0">
    <w:p w14:paraId="3A0A6A1F" w14:textId="77777777" w:rsidR="00C61968" w:rsidRDefault="00C61968" w:rsidP="00D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E40A" w14:textId="77777777" w:rsidR="00982C20" w:rsidRPr="00663C62" w:rsidRDefault="00982C20" w:rsidP="00D64E50">
    <w:pPr>
      <w:ind w:firstLine="5245"/>
      <w:jc w:val="center"/>
      <w:rPr>
        <w:rFonts w:eastAsiaTheme="minorHAnsi"/>
        <w:sz w:val="16"/>
        <w:szCs w:val="16"/>
        <w:lang w:eastAsia="en-US"/>
      </w:rPr>
    </w:pPr>
  </w:p>
  <w:p w14:paraId="45962036" w14:textId="77777777" w:rsidR="00982C20" w:rsidRPr="00663C62" w:rsidRDefault="00982C20" w:rsidP="00982C20">
    <w:pPr>
      <w:ind w:firstLine="5245"/>
      <w:jc w:val="right"/>
      <w:rPr>
        <w:rFonts w:eastAsiaTheme="minorHAnsi"/>
        <w:sz w:val="16"/>
        <w:szCs w:val="16"/>
        <w:lang w:eastAsia="en-US"/>
      </w:rPr>
    </w:pPr>
  </w:p>
  <w:p w14:paraId="0AA6352D" w14:textId="77777777" w:rsidR="00982C20" w:rsidRPr="00663C62" w:rsidRDefault="00982C20" w:rsidP="00D64E50">
    <w:pPr>
      <w:rPr>
        <w:rFonts w:eastAsiaTheme="minorHAnsi"/>
        <w:sz w:val="16"/>
        <w:szCs w:val="16"/>
        <w:lang w:eastAsia="en-US"/>
      </w:rPr>
    </w:pPr>
  </w:p>
  <w:p w14:paraId="2552A796" w14:textId="77777777" w:rsidR="00982C20" w:rsidRPr="00663C62" w:rsidRDefault="00982C20" w:rsidP="00982C20">
    <w:pPr>
      <w:ind w:firstLine="5245"/>
      <w:jc w:val="right"/>
      <w:rPr>
        <w:rFonts w:eastAsiaTheme="minorHAnsi"/>
        <w:sz w:val="16"/>
        <w:szCs w:val="16"/>
        <w:lang w:eastAsia="en-US"/>
      </w:rPr>
    </w:pPr>
    <w:r w:rsidRPr="00663C62">
      <w:rPr>
        <w:rFonts w:eastAsiaTheme="minorHAnsi"/>
        <w:sz w:val="16"/>
        <w:szCs w:val="16"/>
        <w:lang w:eastAsia="en-US"/>
      </w:rPr>
      <w:t xml:space="preserve">Załącznik nr </w:t>
    </w:r>
    <w:r>
      <w:rPr>
        <w:rFonts w:eastAsiaTheme="minorHAnsi"/>
        <w:sz w:val="16"/>
        <w:szCs w:val="16"/>
        <w:lang w:eastAsia="en-US"/>
      </w:rPr>
      <w:t>8</w:t>
    </w:r>
    <w:r w:rsidRPr="00663C62">
      <w:rPr>
        <w:rFonts w:eastAsiaTheme="minorHAnsi"/>
        <w:sz w:val="16"/>
        <w:szCs w:val="16"/>
        <w:lang w:eastAsia="en-US"/>
      </w:rPr>
      <w:t xml:space="preserve"> do </w:t>
    </w:r>
  </w:p>
  <w:p w14:paraId="6EF3EDB8" w14:textId="77777777" w:rsidR="00982C20" w:rsidRPr="00663C62" w:rsidRDefault="00982C20" w:rsidP="00982C20">
    <w:pPr>
      <w:jc w:val="right"/>
      <w:rPr>
        <w:rFonts w:eastAsiaTheme="minorHAnsi"/>
        <w:i/>
        <w:sz w:val="16"/>
        <w:szCs w:val="16"/>
        <w:lang w:eastAsia="en-US"/>
      </w:rPr>
    </w:pPr>
    <w:r w:rsidRPr="00663C62">
      <w:rPr>
        <w:rFonts w:eastAsiaTheme="minorHAnsi"/>
        <w:i/>
        <w:sz w:val="16"/>
        <w:szCs w:val="16"/>
        <w:lang w:eastAsia="en-US"/>
      </w:rPr>
      <w:t xml:space="preserve">Instrukcji rozpatrywania reklamacji </w:t>
    </w:r>
  </w:p>
  <w:p w14:paraId="1EF3AFF2" w14:textId="77777777" w:rsidR="00982C20" w:rsidRPr="00663C62" w:rsidRDefault="00982C20" w:rsidP="00982C20">
    <w:pPr>
      <w:ind w:left="567" w:firstLine="5103"/>
      <w:jc w:val="right"/>
      <w:rPr>
        <w:rFonts w:eastAsiaTheme="minorHAnsi"/>
        <w:i/>
        <w:sz w:val="16"/>
        <w:szCs w:val="16"/>
        <w:lang w:eastAsia="en-US"/>
      </w:rPr>
    </w:pPr>
    <w:r w:rsidRPr="00663C62">
      <w:rPr>
        <w:rFonts w:eastAsiaTheme="minorHAnsi"/>
        <w:i/>
        <w:sz w:val="16"/>
        <w:szCs w:val="16"/>
        <w:lang w:eastAsia="en-US"/>
      </w:rPr>
      <w:t xml:space="preserve">w Banku Spółdzielczym </w:t>
    </w:r>
  </w:p>
  <w:p w14:paraId="05B19363" w14:textId="77777777" w:rsidR="00982C20" w:rsidRPr="00663C62" w:rsidRDefault="00982C20" w:rsidP="00982C20">
    <w:pPr>
      <w:ind w:left="5529" w:firstLine="850"/>
      <w:jc w:val="right"/>
      <w:rPr>
        <w:rFonts w:eastAsiaTheme="minorHAnsi"/>
        <w:i/>
        <w:sz w:val="16"/>
        <w:szCs w:val="16"/>
        <w:lang w:eastAsia="en-US"/>
      </w:rPr>
    </w:pPr>
    <w:r w:rsidRPr="00663C62">
      <w:rPr>
        <w:rFonts w:eastAsiaTheme="minorHAnsi"/>
        <w:i/>
        <w:sz w:val="16"/>
        <w:szCs w:val="16"/>
        <w:lang w:eastAsia="en-US"/>
      </w:rPr>
      <w:t xml:space="preserve"> Grodków – Łosiów z/s w Grodkowie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E31"/>
    <w:multiLevelType w:val="hybridMultilevel"/>
    <w:tmpl w:val="DEC2375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32E"/>
    <w:multiLevelType w:val="hybridMultilevel"/>
    <w:tmpl w:val="A18C1A70"/>
    <w:lvl w:ilvl="0" w:tplc="E4541FB4">
      <w:start w:val="1"/>
      <w:numFmt w:val="decimal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C126A89"/>
    <w:multiLevelType w:val="hybridMultilevel"/>
    <w:tmpl w:val="B6B27A2A"/>
    <w:lvl w:ilvl="0" w:tplc="E9B4274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D146E332">
      <w:start w:val="1"/>
      <w:numFmt w:val="decimal"/>
      <w:lvlText w:val="%4."/>
      <w:lvlJc w:val="left"/>
      <w:pPr>
        <w:ind w:left="2877" w:hanging="360"/>
      </w:pPr>
      <w:rPr>
        <w:rFonts w:ascii="Garamond" w:hAnsi="Garamond" w:cs="Times New Roman" w:hint="default"/>
        <w:sz w:val="24"/>
        <w:szCs w:val="24"/>
        <w:vertAlign w:val="baseline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2D7EB19E">
      <w:start w:val="1"/>
      <w:numFmt w:val="decimal"/>
      <w:lvlText w:val="%7."/>
      <w:lvlJc w:val="left"/>
      <w:pPr>
        <w:ind w:left="5037" w:hanging="360"/>
      </w:pPr>
      <w:rPr>
        <w:rFonts w:ascii="Garamond" w:hAnsi="Garamond" w:cs="Times New Roman" w:hint="default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C7B3210"/>
    <w:multiLevelType w:val="hybridMultilevel"/>
    <w:tmpl w:val="89480C60"/>
    <w:lvl w:ilvl="0" w:tplc="19368D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C04AF3"/>
    <w:multiLevelType w:val="hybridMultilevel"/>
    <w:tmpl w:val="BEFE9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08DD"/>
    <w:multiLevelType w:val="multilevel"/>
    <w:tmpl w:val="03D2C754"/>
    <w:lvl w:ilvl="0">
      <w:start w:val="1"/>
      <w:numFmt w:val="decimal"/>
      <w:lvlText w:val="%1)"/>
      <w:lvlJc w:val="left"/>
      <w:pPr>
        <w:tabs>
          <w:tab w:val="num" w:pos="-2366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6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36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6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36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36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36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36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366"/>
        </w:tabs>
        <w:ind w:left="6120" w:hanging="180"/>
      </w:pPr>
    </w:lvl>
  </w:abstractNum>
  <w:abstractNum w:abstractNumId="6" w15:restartNumberingAfterBreak="0">
    <w:nsid w:val="49EB0FA8"/>
    <w:multiLevelType w:val="hybridMultilevel"/>
    <w:tmpl w:val="444E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E8A56F8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C6C1C95"/>
    <w:multiLevelType w:val="hybridMultilevel"/>
    <w:tmpl w:val="55D2B40C"/>
    <w:lvl w:ilvl="0" w:tplc="AD3C51F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sz w:val="22"/>
        <w:szCs w:val="22"/>
      </w:rPr>
    </w:lvl>
    <w:lvl w:ilvl="1" w:tplc="25047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23C3"/>
    <w:multiLevelType w:val="hybridMultilevel"/>
    <w:tmpl w:val="12F45912"/>
    <w:lvl w:ilvl="0" w:tplc="B0A6420C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89D429E"/>
    <w:multiLevelType w:val="hybridMultilevel"/>
    <w:tmpl w:val="F1C0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79F7"/>
    <w:multiLevelType w:val="hybridMultilevel"/>
    <w:tmpl w:val="6BF86A64"/>
    <w:lvl w:ilvl="0" w:tplc="2F52E7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9226B3"/>
    <w:multiLevelType w:val="hybridMultilevel"/>
    <w:tmpl w:val="DDEE7402"/>
    <w:lvl w:ilvl="0" w:tplc="8B0254F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45922133">
    <w:abstractNumId w:val="7"/>
  </w:num>
  <w:num w:numId="2" w16cid:durableId="1015108263">
    <w:abstractNumId w:val="2"/>
  </w:num>
  <w:num w:numId="3" w16cid:durableId="1127434082">
    <w:abstractNumId w:val="10"/>
  </w:num>
  <w:num w:numId="4" w16cid:durableId="219094559">
    <w:abstractNumId w:val="9"/>
  </w:num>
  <w:num w:numId="5" w16cid:durableId="2070955622">
    <w:abstractNumId w:val="3"/>
  </w:num>
  <w:num w:numId="6" w16cid:durableId="1330867736">
    <w:abstractNumId w:val="11"/>
  </w:num>
  <w:num w:numId="7" w16cid:durableId="390156669">
    <w:abstractNumId w:val="6"/>
  </w:num>
  <w:num w:numId="8" w16cid:durableId="1356299270">
    <w:abstractNumId w:val="4"/>
  </w:num>
  <w:num w:numId="9" w16cid:durableId="936061143">
    <w:abstractNumId w:val="8"/>
  </w:num>
  <w:num w:numId="10" w16cid:durableId="569383390">
    <w:abstractNumId w:val="1"/>
  </w:num>
  <w:num w:numId="11" w16cid:durableId="1248003465">
    <w:abstractNumId w:val="5"/>
  </w:num>
  <w:num w:numId="12" w16cid:durableId="82844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C3"/>
    <w:rsid w:val="00016ECC"/>
    <w:rsid w:val="00066345"/>
    <w:rsid w:val="00096C74"/>
    <w:rsid w:val="000A2F38"/>
    <w:rsid w:val="000D7FFA"/>
    <w:rsid w:val="00162957"/>
    <w:rsid w:val="001A4679"/>
    <w:rsid w:val="002018F6"/>
    <w:rsid w:val="00274489"/>
    <w:rsid w:val="002A2F03"/>
    <w:rsid w:val="002B7937"/>
    <w:rsid w:val="0031394D"/>
    <w:rsid w:val="0035200C"/>
    <w:rsid w:val="00384454"/>
    <w:rsid w:val="00390EA8"/>
    <w:rsid w:val="003F36AC"/>
    <w:rsid w:val="00440584"/>
    <w:rsid w:val="004C3357"/>
    <w:rsid w:val="004E7BD0"/>
    <w:rsid w:val="00543E2B"/>
    <w:rsid w:val="005710ED"/>
    <w:rsid w:val="005C29C6"/>
    <w:rsid w:val="006262BA"/>
    <w:rsid w:val="00663C62"/>
    <w:rsid w:val="006F1BAB"/>
    <w:rsid w:val="00744765"/>
    <w:rsid w:val="00781F8B"/>
    <w:rsid w:val="00835B3C"/>
    <w:rsid w:val="008769BB"/>
    <w:rsid w:val="008910E8"/>
    <w:rsid w:val="008E3032"/>
    <w:rsid w:val="00931787"/>
    <w:rsid w:val="00967071"/>
    <w:rsid w:val="00981266"/>
    <w:rsid w:val="00982C20"/>
    <w:rsid w:val="00A01D45"/>
    <w:rsid w:val="00A70ACA"/>
    <w:rsid w:val="00A862CD"/>
    <w:rsid w:val="00AE1654"/>
    <w:rsid w:val="00AF1CB2"/>
    <w:rsid w:val="00B04434"/>
    <w:rsid w:val="00B10A03"/>
    <w:rsid w:val="00B11C08"/>
    <w:rsid w:val="00B2427D"/>
    <w:rsid w:val="00B45AC1"/>
    <w:rsid w:val="00B471A5"/>
    <w:rsid w:val="00B812FB"/>
    <w:rsid w:val="00BA3EA5"/>
    <w:rsid w:val="00BB3D52"/>
    <w:rsid w:val="00BE06B4"/>
    <w:rsid w:val="00C01091"/>
    <w:rsid w:val="00C118A9"/>
    <w:rsid w:val="00C61968"/>
    <w:rsid w:val="00D04EC3"/>
    <w:rsid w:val="00D05C89"/>
    <w:rsid w:val="00D36A05"/>
    <w:rsid w:val="00D5250F"/>
    <w:rsid w:val="00D53713"/>
    <w:rsid w:val="00D545D1"/>
    <w:rsid w:val="00D614BF"/>
    <w:rsid w:val="00D64E50"/>
    <w:rsid w:val="00D77D00"/>
    <w:rsid w:val="00D814DD"/>
    <w:rsid w:val="00D97C05"/>
    <w:rsid w:val="00E34BA3"/>
    <w:rsid w:val="00E53270"/>
    <w:rsid w:val="00E6704C"/>
    <w:rsid w:val="00ED62E8"/>
    <w:rsid w:val="00EF14A5"/>
    <w:rsid w:val="00F03475"/>
    <w:rsid w:val="00F311A2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33D9"/>
  <w15:docId w15:val="{0A56200F-66F3-4E6A-B0CA-0062A19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4EC3"/>
    <w:pPr>
      <w:ind w:left="720"/>
      <w:contextualSpacing/>
    </w:pPr>
    <w:rPr>
      <w:sz w:val="20"/>
      <w:szCs w:val="20"/>
      <w:vertAlign w:val="subscript"/>
    </w:rPr>
  </w:style>
  <w:style w:type="paragraph" w:styleId="Nagwek">
    <w:name w:val="header"/>
    <w:basedOn w:val="Normalny"/>
    <w:link w:val="NagwekZnak"/>
    <w:uiPriority w:val="99"/>
    <w:rsid w:val="00D04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04EC3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E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0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0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311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BB7712A67F24CA9109F2ECD5E91BC" ma:contentTypeVersion="0" ma:contentTypeDescription="Utwórz nowy dokument." ma:contentTypeScope="" ma:versionID="9b4127550337103cad4c9c78e46542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A57C-4FDA-4125-87EA-9CFFCAE74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12874-3EF3-497F-A2BE-8198F864F5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17724-7EE2-44FE-8458-0BAA3E575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EACD7-87C6-487E-8835-2331ABCA3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Pawlak Katarzyna</dc:creator>
  <cp:lastModifiedBy>Jacek Pawiński</cp:lastModifiedBy>
  <cp:revision>2</cp:revision>
  <cp:lastPrinted>2025-04-17T13:40:00Z</cp:lastPrinted>
  <dcterms:created xsi:type="dcterms:W3CDTF">2025-07-07T08:03:00Z</dcterms:created>
  <dcterms:modified xsi:type="dcterms:W3CDTF">2025-07-07T08:03:00Z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0x0101002CBBB7712A67F24CA9109F2ECD5E91BC</vt:lpwstr>
  </property>
</Properties>
</file>