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34C8" w14:textId="77777777" w:rsidR="00ED1388" w:rsidRPr="004F0821" w:rsidRDefault="001E798D" w:rsidP="00610C36">
      <w:pPr>
        <w:ind w:left="0"/>
        <w:jc w:val="center"/>
      </w:pPr>
      <w:r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2C8A38" wp14:editId="78EE659C">
                <wp:simplePos x="0" y="0"/>
                <wp:positionH relativeFrom="column">
                  <wp:posOffset>3831231</wp:posOffset>
                </wp:positionH>
                <wp:positionV relativeFrom="paragraph">
                  <wp:posOffset>-1297</wp:posOffset>
                </wp:positionV>
                <wp:extent cx="2172335" cy="803082"/>
                <wp:effectExtent l="0" t="0" r="1841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8030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F9E722" w14:textId="6D153667" w:rsidR="00ED1388" w:rsidRPr="007C1B51" w:rsidRDefault="005809B8" w:rsidP="001C4F3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Uchwała Zarządu </w:t>
                            </w:r>
                            <w:r w:rsidRPr="007C1B51">
                              <w:rPr>
                                <w:sz w:val="20"/>
                                <w:szCs w:val="20"/>
                              </w:rPr>
                              <w:t xml:space="preserve">Nr </w:t>
                            </w:r>
                            <w:r w:rsidR="007C1B51" w:rsidRPr="007C1B51">
                              <w:rPr>
                                <w:sz w:val="20"/>
                                <w:szCs w:val="20"/>
                              </w:rPr>
                              <w:t>60</w:t>
                            </w:r>
                            <w:r w:rsidR="008F17B7" w:rsidRPr="007C1B51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0E74CB" w:rsidRPr="007C1B5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024C883" w14:textId="686F452A" w:rsidR="00ED1388" w:rsidRPr="007C1B51" w:rsidRDefault="00697CB1" w:rsidP="001C4F3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1B51">
                              <w:rPr>
                                <w:sz w:val="20"/>
                                <w:szCs w:val="20"/>
                              </w:rPr>
                              <w:t>z dn.</w:t>
                            </w:r>
                            <w:r w:rsidR="00ED1388" w:rsidRPr="007C1B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74CB" w:rsidRPr="007C1B51">
                              <w:rPr>
                                <w:sz w:val="20"/>
                                <w:szCs w:val="20"/>
                              </w:rPr>
                              <w:t>22.05</w:t>
                            </w:r>
                            <w:r w:rsidR="008F17B7" w:rsidRPr="007C1B51">
                              <w:rPr>
                                <w:sz w:val="20"/>
                                <w:szCs w:val="20"/>
                              </w:rPr>
                              <w:t>.202</w:t>
                            </w:r>
                            <w:r w:rsidR="000E74CB" w:rsidRPr="007C1B5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80284F" w:rsidRPr="007C1B51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ED1388" w:rsidRPr="007C1B5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2D162B" w14:textId="4A1B1552" w:rsidR="00697CB1" w:rsidRPr="007C1B51" w:rsidRDefault="00ED1388" w:rsidP="001C4F3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1B51">
                              <w:rPr>
                                <w:sz w:val="20"/>
                                <w:szCs w:val="20"/>
                              </w:rPr>
                              <w:t>Uchwały Rady Nadzorczej Nr</w:t>
                            </w:r>
                            <w:r w:rsidR="005809B8" w:rsidRPr="007C1B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1B51" w:rsidRPr="007C1B51"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="008F17B7" w:rsidRPr="007C1B51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0E74CB" w:rsidRPr="007C1B5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2B83B86" w14:textId="699BA681" w:rsidR="00697CB1" w:rsidRDefault="00697CB1" w:rsidP="001C4F3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1B51">
                              <w:rPr>
                                <w:sz w:val="20"/>
                                <w:szCs w:val="20"/>
                              </w:rPr>
                              <w:t xml:space="preserve">z dn. </w:t>
                            </w:r>
                            <w:r w:rsidR="000E74CB" w:rsidRPr="007C1B51">
                              <w:rPr>
                                <w:sz w:val="20"/>
                                <w:szCs w:val="20"/>
                              </w:rPr>
                              <w:t>27.05.2026</w:t>
                            </w:r>
                            <w:r w:rsidR="001C4F31" w:rsidRPr="007C1B51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7C1B5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BF57E9" w14:textId="77777777" w:rsidR="000D4F2A" w:rsidRPr="00B7796C" w:rsidRDefault="000D4F2A" w:rsidP="00697CB1">
                            <w:pPr>
                              <w:spacing w:after="0" w:line="240" w:lineRule="auto"/>
                              <w:ind w:left="0"/>
                              <w:jc w:val="center"/>
                            </w:pPr>
                          </w:p>
                          <w:p w14:paraId="579C6447" w14:textId="77777777" w:rsidR="00ED1388" w:rsidRPr="00477776" w:rsidRDefault="00ED1388" w:rsidP="00ED13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C8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65pt;margin-top:-.1pt;width:171.05pt;height:6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" filled="f">
                <v:textbox>
                  <w:txbxContent>
                    <w:p w14:paraId="3AF9E722" w14:textId="6D153667" w:rsidR="00ED1388" w:rsidRPr="007C1B51" w:rsidRDefault="005809B8" w:rsidP="001C4F31">
                      <w:pPr>
                        <w:spacing w:after="0" w:line="240" w:lineRule="auto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Uchwała Zarządu </w:t>
                      </w:r>
                      <w:r w:rsidRPr="007C1B51">
                        <w:rPr>
                          <w:sz w:val="20"/>
                          <w:szCs w:val="20"/>
                        </w:rPr>
                        <w:t xml:space="preserve">Nr </w:t>
                      </w:r>
                      <w:r w:rsidR="007C1B51" w:rsidRPr="007C1B51">
                        <w:rPr>
                          <w:sz w:val="20"/>
                          <w:szCs w:val="20"/>
                        </w:rPr>
                        <w:t>60</w:t>
                      </w:r>
                      <w:r w:rsidR="008F17B7" w:rsidRPr="007C1B51">
                        <w:rPr>
                          <w:sz w:val="20"/>
                          <w:szCs w:val="20"/>
                        </w:rPr>
                        <w:t>/202</w:t>
                      </w:r>
                      <w:r w:rsidR="000E74CB" w:rsidRPr="007C1B51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2024C883" w14:textId="686F452A" w:rsidR="00ED1388" w:rsidRPr="007C1B51" w:rsidRDefault="00697CB1" w:rsidP="001C4F3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C1B51">
                        <w:rPr>
                          <w:sz w:val="20"/>
                          <w:szCs w:val="20"/>
                        </w:rPr>
                        <w:t>z dn.</w:t>
                      </w:r>
                      <w:r w:rsidR="00ED1388" w:rsidRPr="007C1B5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74CB" w:rsidRPr="007C1B51">
                        <w:rPr>
                          <w:sz w:val="20"/>
                          <w:szCs w:val="20"/>
                        </w:rPr>
                        <w:t>22.05</w:t>
                      </w:r>
                      <w:r w:rsidR="008F17B7" w:rsidRPr="007C1B51">
                        <w:rPr>
                          <w:sz w:val="20"/>
                          <w:szCs w:val="20"/>
                        </w:rPr>
                        <w:t>.202</w:t>
                      </w:r>
                      <w:r w:rsidR="000E74CB" w:rsidRPr="007C1B51">
                        <w:rPr>
                          <w:sz w:val="20"/>
                          <w:szCs w:val="20"/>
                        </w:rPr>
                        <w:t>6</w:t>
                      </w:r>
                      <w:r w:rsidR="0080284F" w:rsidRPr="007C1B51">
                        <w:rPr>
                          <w:sz w:val="20"/>
                          <w:szCs w:val="20"/>
                        </w:rPr>
                        <w:t>r</w:t>
                      </w:r>
                      <w:r w:rsidR="00ED1388" w:rsidRPr="007C1B5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E2D162B" w14:textId="4A1B1552" w:rsidR="00697CB1" w:rsidRPr="007C1B51" w:rsidRDefault="00ED1388" w:rsidP="001C4F31">
                      <w:pPr>
                        <w:spacing w:after="0" w:line="240" w:lineRule="auto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C1B51">
                        <w:rPr>
                          <w:sz w:val="20"/>
                          <w:szCs w:val="20"/>
                        </w:rPr>
                        <w:t>Uchwały Rady Nadzorczej Nr</w:t>
                      </w:r>
                      <w:r w:rsidR="005809B8" w:rsidRPr="007C1B5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C1B51" w:rsidRPr="007C1B51">
                        <w:rPr>
                          <w:sz w:val="20"/>
                          <w:szCs w:val="20"/>
                        </w:rPr>
                        <w:t>22</w:t>
                      </w:r>
                      <w:r w:rsidR="008F17B7" w:rsidRPr="007C1B51">
                        <w:rPr>
                          <w:sz w:val="20"/>
                          <w:szCs w:val="20"/>
                        </w:rPr>
                        <w:t>/202</w:t>
                      </w:r>
                      <w:r w:rsidR="000E74CB" w:rsidRPr="007C1B51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62B83B86" w14:textId="699BA681" w:rsidR="00697CB1" w:rsidRDefault="00697CB1" w:rsidP="001C4F31">
                      <w:pPr>
                        <w:spacing w:after="0" w:line="240" w:lineRule="auto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C1B51">
                        <w:rPr>
                          <w:sz w:val="20"/>
                          <w:szCs w:val="20"/>
                        </w:rPr>
                        <w:t xml:space="preserve">z dn. </w:t>
                      </w:r>
                      <w:r w:rsidR="000E74CB" w:rsidRPr="007C1B51">
                        <w:rPr>
                          <w:sz w:val="20"/>
                          <w:szCs w:val="20"/>
                        </w:rPr>
                        <w:t>27.05.2026</w:t>
                      </w:r>
                      <w:r w:rsidR="001C4F31" w:rsidRPr="007C1B51">
                        <w:rPr>
                          <w:sz w:val="20"/>
                          <w:szCs w:val="20"/>
                        </w:rPr>
                        <w:t>r</w:t>
                      </w:r>
                      <w:r w:rsidRPr="007C1B5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0BF57E9" w14:textId="77777777" w:rsidR="000D4F2A" w:rsidRPr="00B7796C" w:rsidRDefault="000D4F2A" w:rsidP="00697CB1">
                      <w:pPr>
                        <w:spacing w:after="0" w:line="240" w:lineRule="auto"/>
                        <w:ind w:left="0"/>
                        <w:jc w:val="center"/>
                      </w:pPr>
                    </w:p>
                    <w:p w14:paraId="579C6447" w14:textId="77777777" w:rsidR="00ED1388" w:rsidRPr="00477776" w:rsidRDefault="00ED1388" w:rsidP="00ED1388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E28C93A" wp14:editId="6DBC94B4">
            <wp:extent cx="1407160" cy="103378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CA94" w14:textId="77777777" w:rsidR="00ED1388" w:rsidRDefault="00ED1388" w:rsidP="00610C36">
      <w:pPr>
        <w:ind w:left="0"/>
        <w:rPr>
          <w:rFonts w:ascii="Ottawa" w:hAnsi="Ottawa"/>
          <w:sz w:val="36"/>
        </w:rPr>
      </w:pPr>
    </w:p>
    <w:p w14:paraId="6B935526" w14:textId="77777777" w:rsidR="00ED1388" w:rsidRDefault="00ED1388" w:rsidP="00610C36">
      <w:pPr>
        <w:ind w:left="0"/>
        <w:jc w:val="center"/>
        <w:rPr>
          <w:rFonts w:ascii="Ottawa" w:hAnsi="Ottawa"/>
          <w:sz w:val="36"/>
        </w:rPr>
      </w:pPr>
      <w:r>
        <w:rPr>
          <w:rFonts w:ascii="Ottawa" w:hAnsi="Ottawa"/>
          <w:sz w:val="36"/>
        </w:rPr>
        <w:t>BANK SPÓŁDZIELCZY GRODKÓW-ŁOSIÓW</w:t>
      </w:r>
    </w:p>
    <w:p w14:paraId="0E36744A" w14:textId="77777777" w:rsidR="00ED1388" w:rsidRDefault="00ED1388" w:rsidP="00610C36">
      <w:pPr>
        <w:ind w:left="0"/>
        <w:jc w:val="center"/>
        <w:rPr>
          <w:rFonts w:ascii="Ottawa" w:hAnsi="Ottawa"/>
          <w:sz w:val="36"/>
        </w:rPr>
      </w:pPr>
      <w:r>
        <w:rPr>
          <w:rFonts w:ascii="Ottawa" w:hAnsi="Ottawa"/>
          <w:sz w:val="36"/>
        </w:rPr>
        <w:t>z siedzibą w Grodkowie</w:t>
      </w:r>
    </w:p>
    <w:p w14:paraId="5A17FA7F" w14:textId="77777777" w:rsidR="00ED1388" w:rsidRDefault="00ED1388" w:rsidP="00610C36">
      <w:pPr>
        <w:ind w:left="0"/>
        <w:jc w:val="center"/>
        <w:rPr>
          <w:rFonts w:ascii="Ottawa" w:hAnsi="Ottawa"/>
          <w:sz w:val="36"/>
        </w:rPr>
      </w:pP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  <w:r>
        <w:rPr>
          <w:rFonts w:ascii="Ottawa" w:hAnsi="Ottawa"/>
        </w:rPr>
        <w:sym w:font="Times New Roman" w:char="2014"/>
      </w:r>
    </w:p>
    <w:p w14:paraId="64F1BC24" w14:textId="77777777" w:rsidR="00ED1388" w:rsidRDefault="00ED1388" w:rsidP="00610C36">
      <w:pPr>
        <w:spacing w:line="400" w:lineRule="exact"/>
        <w:ind w:left="0"/>
        <w:jc w:val="center"/>
        <w:rPr>
          <w:rFonts w:ascii="Ottawa" w:hAnsi="Ottawa"/>
          <w:sz w:val="24"/>
        </w:rPr>
      </w:pPr>
      <w:r>
        <w:rPr>
          <w:rFonts w:ascii="Ottawa" w:hAnsi="Ottawa"/>
          <w:sz w:val="24"/>
        </w:rPr>
        <w:t>49-200 Grodków, ul. Kasztanowa 18</w:t>
      </w:r>
    </w:p>
    <w:p w14:paraId="28CBA166" w14:textId="77777777" w:rsidR="00ED1388" w:rsidRDefault="00ED1388" w:rsidP="00610C36">
      <w:pPr>
        <w:pStyle w:val="Nagwek3"/>
        <w:jc w:val="center"/>
      </w:pPr>
    </w:p>
    <w:p w14:paraId="26FB843F" w14:textId="77777777" w:rsidR="00ED1388" w:rsidRDefault="00ED1388" w:rsidP="00610C36">
      <w:pPr>
        <w:ind w:left="0"/>
      </w:pPr>
    </w:p>
    <w:p w14:paraId="1A0D3596" w14:textId="77777777" w:rsidR="00ED1388" w:rsidRPr="00C272A5" w:rsidRDefault="00ED1388" w:rsidP="00610C36">
      <w:pPr>
        <w:ind w:left="0"/>
      </w:pPr>
    </w:p>
    <w:p w14:paraId="07CD8706" w14:textId="77777777" w:rsidR="003E50C7" w:rsidRPr="001C4F31" w:rsidRDefault="00ED1388" w:rsidP="00610C36">
      <w:pPr>
        <w:pStyle w:val="Nagwek3"/>
        <w:jc w:val="center"/>
        <w:rPr>
          <w:rFonts w:ascii="Times New Roman" w:hAnsi="Times New Roman"/>
          <w:sz w:val="32"/>
          <w:szCs w:val="32"/>
          <w:u w:val="none"/>
        </w:rPr>
      </w:pPr>
      <w:r w:rsidRPr="001C4F31">
        <w:rPr>
          <w:rFonts w:ascii="Times New Roman" w:hAnsi="Times New Roman"/>
          <w:sz w:val="32"/>
          <w:szCs w:val="32"/>
          <w:u w:val="none"/>
        </w:rPr>
        <w:t>Polityka wynagradzania</w:t>
      </w:r>
      <w:r w:rsidR="0080284F" w:rsidRPr="001C4F31">
        <w:rPr>
          <w:rFonts w:ascii="Times New Roman" w:hAnsi="Times New Roman"/>
          <w:sz w:val="32"/>
          <w:szCs w:val="32"/>
          <w:u w:val="none"/>
        </w:rPr>
        <w:t xml:space="preserve"> </w:t>
      </w:r>
    </w:p>
    <w:p w14:paraId="72C1A840" w14:textId="77777777" w:rsidR="00ED1388" w:rsidRPr="00841294" w:rsidRDefault="003E50C7" w:rsidP="003E50C7">
      <w:pPr>
        <w:pStyle w:val="Nagwek3"/>
        <w:jc w:val="center"/>
        <w:rPr>
          <w:rFonts w:ascii="Times New Roman" w:hAnsi="Times New Roman"/>
          <w:b w:val="0"/>
          <w:color w:val="FF0000"/>
          <w:szCs w:val="24"/>
          <w:u w:val="none"/>
        </w:rPr>
      </w:pPr>
      <w:r w:rsidRPr="001C4F31">
        <w:rPr>
          <w:rFonts w:ascii="Times New Roman" w:hAnsi="Times New Roman"/>
          <w:b w:val="0"/>
          <w:szCs w:val="24"/>
          <w:u w:val="none"/>
        </w:rPr>
        <w:t xml:space="preserve">(w tym </w:t>
      </w:r>
      <w:r w:rsidR="003A3097" w:rsidRPr="001C4F31">
        <w:rPr>
          <w:rFonts w:ascii="Times New Roman" w:hAnsi="Times New Roman"/>
          <w:b w:val="0"/>
          <w:szCs w:val="24"/>
          <w:u w:val="none"/>
        </w:rPr>
        <w:t xml:space="preserve">wynagradzania </w:t>
      </w:r>
      <w:r w:rsidRPr="001C4F31">
        <w:rPr>
          <w:rFonts w:ascii="Times New Roman" w:hAnsi="Times New Roman"/>
          <w:b w:val="0"/>
          <w:szCs w:val="24"/>
          <w:u w:val="none"/>
        </w:rPr>
        <w:t xml:space="preserve">pracowników, </w:t>
      </w:r>
      <w:r w:rsidR="0080284F" w:rsidRPr="001C4F31">
        <w:rPr>
          <w:rFonts w:ascii="Times New Roman" w:hAnsi="Times New Roman"/>
          <w:b w:val="0"/>
          <w:szCs w:val="24"/>
          <w:u w:val="none"/>
        </w:rPr>
        <w:t xml:space="preserve">których działalność ma istotny </w:t>
      </w:r>
      <w:r w:rsidR="0080284F" w:rsidRPr="00841294">
        <w:rPr>
          <w:rFonts w:ascii="Times New Roman" w:hAnsi="Times New Roman"/>
          <w:b w:val="0"/>
          <w:szCs w:val="24"/>
          <w:u w:val="none"/>
        </w:rPr>
        <w:t>wpływ na profil ryzyka</w:t>
      </w:r>
      <w:r w:rsidRPr="00841294">
        <w:rPr>
          <w:rFonts w:ascii="Times New Roman" w:hAnsi="Times New Roman"/>
          <w:b w:val="0"/>
          <w:color w:val="FF0000"/>
          <w:szCs w:val="24"/>
          <w:u w:val="none"/>
        </w:rPr>
        <w:t>)</w:t>
      </w:r>
      <w:r w:rsidR="00ED1388" w:rsidRPr="00841294">
        <w:rPr>
          <w:rFonts w:ascii="Times New Roman" w:hAnsi="Times New Roman"/>
          <w:b w:val="0"/>
          <w:color w:val="FF0000"/>
          <w:szCs w:val="24"/>
          <w:u w:val="none"/>
        </w:rPr>
        <w:t xml:space="preserve"> </w:t>
      </w:r>
    </w:p>
    <w:p w14:paraId="0A608C80" w14:textId="77777777" w:rsidR="00ED1388" w:rsidRPr="006009EB" w:rsidRDefault="003E50C7" w:rsidP="00610C36">
      <w:pPr>
        <w:pStyle w:val="Nagwek3"/>
        <w:jc w:val="center"/>
        <w:rPr>
          <w:rFonts w:ascii="Times New Roman" w:hAnsi="Times New Roman"/>
          <w:sz w:val="32"/>
          <w:szCs w:val="32"/>
          <w:u w:val="none"/>
        </w:rPr>
      </w:pPr>
      <w:r w:rsidRPr="006009EB">
        <w:rPr>
          <w:rFonts w:ascii="Times New Roman" w:hAnsi="Times New Roman"/>
          <w:sz w:val="32"/>
          <w:szCs w:val="32"/>
          <w:u w:val="none"/>
        </w:rPr>
        <w:t xml:space="preserve">w </w:t>
      </w:r>
      <w:r w:rsidR="00ED1388" w:rsidRPr="006009EB">
        <w:rPr>
          <w:rFonts w:ascii="Times New Roman" w:hAnsi="Times New Roman"/>
          <w:sz w:val="32"/>
          <w:szCs w:val="32"/>
          <w:u w:val="none"/>
        </w:rPr>
        <w:t>Banku Spółdzielcz</w:t>
      </w:r>
      <w:r w:rsidRPr="006009EB">
        <w:rPr>
          <w:rFonts w:ascii="Times New Roman" w:hAnsi="Times New Roman"/>
          <w:sz w:val="32"/>
          <w:szCs w:val="32"/>
          <w:u w:val="none"/>
        </w:rPr>
        <w:t>ym</w:t>
      </w:r>
      <w:r w:rsidR="00ED1388" w:rsidRPr="006009EB">
        <w:rPr>
          <w:rFonts w:ascii="Times New Roman" w:hAnsi="Times New Roman"/>
          <w:sz w:val="32"/>
          <w:szCs w:val="32"/>
          <w:u w:val="none"/>
        </w:rPr>
        <w:t xml:space="preserve"> Grodków-Łosiów</w:t>
      </w:r>
    </w:p>
    <w:p w14:paraId="34FAB7AF" w14:textId="77777777" w:rsidR="00ED1388" w:rsidRPr="006009EB" w:rsidRDefault="0080284F" w:rsidP="00610C36">
      <w:pPr>
        <w:pStyle w:val="Nagwek3"/>
        <w:jc w:val="center"/>
        <w:rPr>
          <w:rFonts w:ascii="Times New Roman" w:hAnsi="Times New Roman"/>
          <w:sz w:val="32"/>
          <w:szCs w:val="32"/>
          <w:u w:val="none"/>
        </w:rPr>
      </w:pPr>
      <w:r w:rsidRPr="006009EB">
        <w:rPr>
          <w:rFonts w:ascii="Times New Roman" w:hAnsi="Times New Roman"/>
          <w:sz w:val="32"/>
          <w:szCs w:val="32"/>
          <w:u w:val="none"/>
        </w:rPr>
        <w:t xml:space="preserve"> z siedzibą</w:t>
      </w:r>
      <w:r w:rsidR="00ED1388" w:rsidRPr="006009EB">
        <w:rPr>
          <w:rFonts w:ascii="Times New Roman" w:hAnsi="Times New Roman"/>
          <w:sz w:val="32"/>
          <w:szCs w:val="32"/>
          <w:u w:val="none"/>
        </w:rPr>
        <w:t xml:space="preserve"> w Grodkowie </w:t>
      </w:r>
    </w:p>
    <w:p w14:paraId="11657C5C" w14:textId="77777777" w:rsidR="00ED1388" w:rsidRDefault="00ED1388" w:rsidP="00610C36">
      <w:pPr>
        <w:pStyle w:val="Nagwek3"/>
        <w:jc w:val="center"/>
        <w:rPr>
          <w:rFonts w:ascii="Times New Roman" w:hAnsi="Times New Roman"/>
          <w:sz w:val="32"/>
          <w:szCs w:val="32"/>
          <w:u w:val="none"/>
        </w:rPr>
      </w:pPr>
    </w:p>
    <w:p w14:paraId="7D608958" w14:textId="77777777" w:rsidR="00ED1388" w:rsidRDefault="00ED1388" w:rsidP="00610C36">
      <w:pPr>
        <w:ind w:left="0"/>
      </w:pPr>
    </w:p>
    <w:p w14:paraId="7B81F072" w14:textId="77777777" w:rsidR="00ED1388" w:rsidRDefault="00ED1388" w:rsidP="00610C36">
      <w:pPr>
        <w:ind w:left="0"/>
      </w:pPr>
    </w:p>
    <w:p w14:paraId="42F252CE" w14:textId="77777777" w:rsidR="00ED1388" w:rsidRPr="0042176D" w:rsidRDefault="00ED1388" w:rsidP="00610C36">
      <w:pPr>
        <w:ind w:left="0"/>
      </w:pPr>
    </w:p>
    <w:p w14:paraId="655F7962" w14:textId="77777777" w:rsidR="00ED1388" w:rsidRDefault="00ED1388" w:rsidP="00610C36">
      <w:pPr>
        <w:pStyle w:val="Tekstpodstawowy"/>
        <w:pBdr>
          <w:bottom w:val="single" w:sz="12" w:space="31" w:color="auto"/>
        </w:pBdr>
        <w:tabs>
          <w:tab w:val="left" w:pos="0"/>
        </w:tabs>
        <w:spacing w:before="240" w:after="240" w:line="360" w:lineRule="auto"/>
        <w:jc w:val="both"/>
      </w:pPr>
    </w:p>
    <w:p w14:paraId="1AC0888F" w14:textId="77777777" w:rsidR="009226B6" w:rsidRDefault="009226B6" w:rsidP="00610C36">
      <w:pPr>
        <w:pStyle w:val="Tekstpodstawowy"/>
        <w:pBdr>
          <w:bottom w:val="single" w:sz="12" w:space="31" w:color="auto"/>
        </w:pBdr>
        <w:tabs>
          <w:tab w:val="left" w:pos="0"/>
        </w:tabs>
        <w:spacing w:before="240" w:after="240" w:line="360" w:lineRule="auto"/>
        <w:jc w:val="both"/>
      </w:pPr>
    </w:p>
    <w:p w14:paraId="67439543" w14:textId="403F8FC6" w:rsidR="00ED1388" w:rsidRDefault="0080284F" w:rsidP="00610C36">
      <w:pPr>
        <w:pStyle w:val="Tekstpodstawowy"/>
        <w:tabs>
          <w:tab w:val="left" w:pos="0"/>
        </w:tabs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Grodków, </w:t>
      </w:r>
      <w:r w:rsidR="000E74CB">
        <w:rPr>
          <w:rFonts w:ascii="Times New Roman" w:hAnsi="Times New Roman"/>
          <w:b w:val="0"/>
          <w:bCs/>
          <w:sz w:val="24"/>
          <w:szCs w:val="24"/>
        </w:rPr>
        <w:t>maj 2026</w:t>
      </w:r>
    </w:p>
    <w:p w14:paraId="26C217D6" w14:textId="77777777" w:rsidR="000A4F9C" w:rsidRPr="005B0DA9" w:rsidRDefault="000A4F9C" w:rsidP="005B0DA9">
      <w:pPr>
        <w:pStyle w:val="Akapitzlist"/>
        <w:rPr>
          <w:rFonts w:ascii="Times New Roman" w:hAnsi="Times New Roman"/>
        </w:rPr>
      </w:pPr>
    </w:p>
    <w:p w14:paraId="7F19472D" w14:textId="7B8F9E75" w:rsidR="000A4F9C" w:rsidRPr="005B0DA9" w:rsidRDefault="005B0DA9" w:rsidP="005B0DA9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 xml:space="preserve"> </w:t>
      </w:r>
      <w:r w:rsidRPr="005B0DA9">
        <w:rPr>
          <w:rFonts w:ascii="Times New Roman" w:hAnsi="Times New Roman"/>
          <w:b/>
          <w:bCs/>
        </w:rPr>
        <w:t>1</w:t>
      </w:r>
    </w:p>
    <w:p w14:paraId="07CC92C5" w14:textId="77777777" w:rsidR="00B71638" w:rsidRPr="00610C36" w:rsidRDefault="00B71638" w:rsidP="00610C36">
      <w:pPr>
        <w:ind w:left="0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Celem opracowania i wdrożenie Polityki wynagradzania </w:t>
      </w:r>
      <w:r w:rsidR="009226B6">
        <w:rPr>
          <w:rFonts w:ascii="Times New Roman" w:hAnsi="Times New Roman"/>
        </w:rPr>
        <w:t xml:space="preserve">(w tym </w:t>
      </w:r>
      <w:r w:rsidR="003A3097">
        <w:rPr>
          <w:rFonts w:ascii="Times New Roman" w:hAnsi="Times New Roman"/>
        </w:rPr>
        <w:t xml:space="preserve">wynagradzania </w:t>
      </w:r>
      <w:r w:rsidRPr="00610C36">
        <w:rPr>
          <w:rFonts w:ascii="Times New Roman" w:hAnsi="Times New Roman"/>
        </w:rPr>
        <w:t>pracowników, których działalność zawodowa ma istotny wpływ na profil ryzyka</w:t>
      </w:r>
      <w:r w:rsidR="009226B6">
        <w:rPr>
          <w:rFonts w:ascii="Times New Roman" w:hAnsi="Times New Roman"/>
        </w:rPr>
        <w:t xml:space="preserve">) w </w:t>
      </w:r>
      <w:r w:rsidRPr="00610C36">
        <w:rPr>
          <w:rFonts w:ascii="Times New Roman" w:hAnsi="Times New Roman"/>
        </w:rPr>
        <w:t xml:space="preserve"> Banku </w:t>
      </w:r>
      <w:r w:rsidR="009226B6" w:rsidRPr="00610C36">
        <w:rPr>
          <w:rFonts w:ascii="Times New Roman" w:hAnsi="Times New Roman"/>
        </w:rPr>
        <w:t>Spółdzielcz</w:t>
      </w:r>
      <w:r w:rsidR="009226B6">
        <w:rPr>
          <w:rFonts w:ascii="Times New Roman" w:hAnsi="Times New Roman"/>
        </w:rPr>
        <w:t>ym</w:t>
      </w:r>
      <w:r w:rsidR="009226B6" w:rsidRPr="00610C36">
        <w:rPr>
          <w:rFonts w:ascii="Times New Roman" w:hAnsi="Times New Roman"/>
        </w:rPr>
        <w:t xml:space="preserve"> </w:t>
      </w:r>
      <w:r w:rsidRPr="00610C36">
        <w:rPr>
          <w:rFonts w:ascii="Times New Roman" w:hAnsi="Times New Roman"/>
        </w:rPr>
        <w:t>Grodków-Łosiów, zwanej dalej „Polityką” jest:</w:t>
      </w:r>
    </w:p>
    <w:p w14:paraId="4E274823" w14:textId="77777777" w:rsidR="009226B6" w:rsidRDefault="009226B6" w:rsidP="007F26FD">
      <w:pPr>
        <w:numPr>
          <w:ilvl w:val="0"/>
          <w:numId w:val="12"/>
        </w:numPr>
        <w:spacing w:after="0"/>
        <w:ind w:left="283" w:hanging="357"/>
        <w:jc w:val="both"/>
        <w:rPr>
          <w:rFonts w:ascii="Times New Roman" w:hAnsi="Times New Roman"/>
        </w:rPr>
      </w:pPr>
      <w:r w:rsidRPr="009226B6">
        <w:rPr>
          <w:rFonts w:ascii="Times New Roman" w:hAnsi="Times New Roman"/>
        </w:rPr>
        <w:t xml:space="preserve">Zdefiniowanie ogólnych zasad wynagradzania w Banku Spółdzielczym w </w:t>
      </w:r>
      <w:r>
        <w:rPr>
          <w:rFonts w:ascii="Times New Roman" w:hAnsi="Times New Roman"/>
        </w:rPr>
        <w:t>Banku Spółdzielczym Grodków-Łosiów z siedziba w Grodkowie</w:t>
      </w:r>
      <w:r w:rsidRPr="009226B6">
        <w:rPr>
          <w:rFonts w:ascii="Times New Roman" w:hAnsi="Times New Roman"/>
        </w:rPr>
        <w:t>, zwanym dalej Bankiem</w:t>
      </w:r>
    </w:p>
    <w:p w14:paraId="540745DF" w14:textId="77777777" w:rsidR="00B71638" w:rsidRPr="00610C36" w:rsidRDefault="00B71638" w:rsidP="007F26FD">
      <w:pPr>
        <w:numPr>
          <w:ilvl w:val="0"/>
          <w:numId w:val="12"/>
        </w:numPr>
        <w:spacing w:after="0"/>
        <w:ind w:left="283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określenie zasad ustalania zmiennych składników wynagradzania pracowników, których działalność zawodowa ma istotny wpływ na profil ryzyka Banku, wymienionych w Rozporządzeniu Ministra </w:t>
      </w:r>
      <w:r w:rsidR="009226B6">
        <w:rPr>
          <w:rFonts w:ascii="Times New Roman" w:hAnsi="Times New Roman"/>
        </w:rPr>
        <w:t>Finansów, Funduszy i Polityki Regionalnej z dnia 08 czerwca 2021r. oraz Rekomendacji Z Komisji Nadzoru Finansowego.</w:t>
      </w:r>
    </w:p>
    <w:p w14:paraId="36107014" w14:textId="77777777" w:rsidR="00B71638" w:rsidRPr="00610C36" w:rsidRDefault="00B71638" w:rsidP="007F26FD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283" w:hanging="357"/>
        <w:rPr>
          <w:rFonts w:ascii="Times New Roman" w:hAnsi="Times New Roman"/>
        </w:rPr>
      </w:pPr>
      <w:r w:rsidRPr="00610C36">
        <w:rPr>
          <w:rFonts w:ascii="Times New Roman" w:hAnsi="Times New Roman"/>
        </w:rPr>
        <w:t>wspieranie prawidłowego i skutecznego zarządzania ryzykiem i nie zachęcanie do podejmowania nadmiernego ryzyka wykraczającego poza zaakceptowaną przez radę nadzorczą skłonność do ryzyka,</w:t>
      </w:r>
    </w:p>
    <w:p w14:paraId="2FA8709B" w14:textId="77777777" w:rsidR="00B71638" w:rsidRDefault="00B71638" w:rsidP="007F26FD">
      <w:pPr>
        <w:numPr>
          <w:ilvl w:val="0"/>
          <w:numId w:val="12"/>
        </w:numPr>
        <w:spacing w:after="0"/>
        <w:ind w:left="283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wspieranie realizacji strategii działalności oraz ograniczanie konfliktu interesów.</w:t>
      </w:r>
    </w:p>
    <w:p w14:paraId="3D2E0232" w14:textId="77777777" w:rsidR="005B0DA9" w:rsidRDefault="005B0DA9" w:rsidP="005B0DA9">
      <w:pPr>
        <w:spacing w:after="0"/>
        <w:ind w:left="283"/>
        <w:jc w:val="both"/>
        <w:rPr>
          <w:rFonts w:ascii="Times New Roman" w:hAnsi="Times New Roman"/>
        </w:rPr>
      </w:pPr>
    </w:p>
    <w:p w14:paraId="6BF4ACC5" w14:textId="1ECEB8AE" w:rsidR="006D7798" w:rsidRPr="005B0DA9" w:rsidRDefault="005B0DA9" w:rsidP="005B0DA9">
      <w:pPr>
        <w:pStyle w:val="Akapitzlist"/>
        <w:ind w:left="-145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 xml:space="preserve"> 2</w:t>
      </w:r>
    </w:p>
    <w:p w14:paraId="1CEFCF47" w14:textId="77777777" w:rsidR="001B098C" w:rsidRDefault="001B098C" w:rsidP="001B098C">
      <w:pPr>
        <w:pStyle w:val="Lista2"/>
        <w:spacing w:line="360" w:lineRule="auto"/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Polityka wynagrodzeń opracowana została na podstawie: </w:t>
      </w:r>
    </w:p>
    <w:p w14:paraId="36EF9583" w14:textId="77777777" w:rsidR="001B098C" w:rsidRDefault="001B098C" w:rsidP="001B098C">
      <w:pPr>
        <w:pStyle w:val="Lista2"/>
        <w:numPr>
          <w:ilvl w:val="0"/>
          <w:numId w:val="29"/>
        </w:numPr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Ustawy Prawo bankowe – art. 9ca,</w:t>
      </w:r>
    </w:p>
    <w:p w14:paraId="20478E58" w14:textId="77777777" w:rsidR="001B098C" w:rsidRDefault="001B098C" w:rsidP="001B098C">
      <w:pPr>
        <w:pStyle w:val="Lista2"/>
        <w:numPr>
          <w:ilvl w:val="0"/>
          <w:numId w:val="29"/>
        </w:numPr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Rozporządzenia Ministra Finansów, Funduszy i Polityki Regionalnej z dnia 8 czerwca 2021 r. w sprawie systemu zarządzania ryzykiem i systemu kontroli wewnętrznej oraz polityki wynagrodzeń w bankach – zwanego dalej Rozporządzenia,</w:t>
      </w:r>
    </w:p>
    <w:p w14:paraId="742C91F1" w14:textId="77777777" w:rsidR="001B098C" w:rsidRDefault="001B098C" w:rsidP="001B098C">
      <w:pPr>
        <w:pStyle w:val="Lista2"/>
        <w:numPr>
          <w:ilvl w:val="0"/>
          <w:numId w:val="29"/>
        </w:numPr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Wytycznych dotyczących prawidłowej polityki wynagrodzeń, o których mowa w art. 74 ust. 3 i 75 ust. 2 dyrektywy 2013/36/UE, i ujawniania informacji zgodnie z art. 450 rozporządzenia (UE) nr 575/2013 - EBA/GL/2015/22,</w:t>
      </w:r>
    </w:p>
    <w:p w14:paraId="6CE7D1CB" w14:textId="77777777" w:rsidR="001B098C" w:rsidRDefault="001B098C" w:rsidP="001B098C">
      <w:pPr>
        <w:pStyle w:val="Lista2"/>
        <w:numPr>
          <w:ilvl w:val="0"/>
          <w:numId w:val="29"/>
        </w:numPr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Zasad Ładu Korporacyjnego dla instytucji nadzorowanych wydanych uchwałą KNF </w:t>
      </w:r>
      <w:r>
        <w:rPr>
          <w:color w:val="000000" w:themeColor="text1"/>
          <w:sz w:val="22"/>
          <w:szCs w:val="22"/>
        </w:rPr>
        <w:br/>
        <w:t>nr 218/2014 z dnia 22 lipca 2014,</w:t>
      </w:r>
    </w:p>
    <w:p w14:paraId="146853B5" w14:textId="77777777" w:rsidR="001B098C" w:rsidRDefault="001B098C" w:rsidP="001B098C">
      <w:pPr>
        <w:pStyle w:val="Lista2"/>
        <w:numPr>
          <w:ilvl w:val="0"/>
          <w:numId w:val="29"/>
        </w:numPr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Rekomendacji Z komisji Nadzoru Finansowego z października 2020 r.</w:t>
      </w:r>
    </w:p>
    <w:p w14:paraId="26A0A99E" w14:textId="77777777" w:rsidR="005B0DA9" w:rsidRDefault="005B0DA9" w:rsidP="00610C36">
      <w:pPr>
        <w:ind w:left="0"/>
        <w:jc w:val="center"/>
        <w:rPr>
          <w:rFonts w:ascii="Times New Roman" w:hAnsi="Times New Roman"/>
        </w:rPr>
      </w:pPr>
    </w:p>
    <w:p w14:paraId="10D04D37" w14:textId="415CC3C2" w:rsidR="005B0DA9" w:rsidRPr="005B0DA9" w:rsidRDefault="005B0DA9" w:rsidP="00610C36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 xml:space="preserve"> </w:t>
      </w:r>
      <w:r w:rsidRPr="005B0DA9">
        <w:rPr>
          <w:rFonts w:ascii="Times New Roman" w:hAnsi="Times New Roman"/>
          <w:b/>
          <w:bCs/>
        </w:rPr>
        <w:t>3</w:t>
      </w:r>
    </w:p>
    <w:p w14:paraId="7E5B8EF8" w14:textId="77777777" w:rsidR="00B71638" w:rsidRPr="00610C36" w:rsidRDefault="00B71638" w:rsidP="00A20173">
      <w:pPr>
        <w:spacing w:after="0"/>
        <w:ind w:left="0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Zapisy niniejszej Polityki obejmują:</w:t>
      </w:r>
    </w:p>
    <w:p w14:paraId="1988C0D3" w14:textId="77777777" w:rsidR="009226B6" w:rsidRPr="009226B6" w:rsidRDefault="009226B6" w:rsidP="009226B6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</w:rPr>
      </w:pPr>
      <w:r w:rsidRPr="009226B6">
        <w:rPr>
          <w:rFonts w:ascii="Times New Roman" w:hAnsi="Times New Roman"/>
        </w:rPr>
        <w:t>Ogólne zasady wynagradzania w Banku,</w:t>
      </w:r>
    </w:p>
    <w:p w14:paraId="2E5A1487" w14:textId="77777777" w:rsidR="009226B6" w:rsidRPr="009226B6" w:rsidRDefault="009226B6" w:rsidP="009226B6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</w:rPr>
      </w:pPr>
      <w:r w:rsidRPr="009226B6">
        <w:rPr>
          <w:rFonts w:ascii="Times New Roman" w:hAnsi="Times New Roman"/>
        </w:rPr>
        <w:lastRenderedPageBreak/>
        <w:t>Definicję kryteriów uznawania stanowisk za istotne,</w:t>
      </w:r>
    </w:p>
    <w:p w14:paraId="50D24985" w14:textId="77777777" w:rsidR="00B71638" w:rsidRPr="00610C36" w:rsidRDefault="00B71638" w:rsidP="00A20173">
      <w:pPr>
        <w:numPr>
          <w:ilvl w:val="0"/>
          <w:numId w:val="6"/>
        </w:numPr>
        <w:spacing w:after="0"/>
        <w:ind w:left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Stałe składniki wynagradzania, rozumiane jako:</w:t>
      </w:r>
    </w:p>
    <w:p w14:paraId="2E5B6249" w14:textId="77777777" w:rsidR="00B71638" w:rsidRPr="00610C36" w:rsidRDefault="00B71638" w:rsidP="00A20173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/>
        <w:ind w:left="709" w:hanging="357"/>
        <w:textAlignment w:val="baseline"/>
        <w:rPr>
          <w:rFonts w:ascii="Times New Roman" w:hAnsi="Times New Roman"/>
        </w:rPr>
      </w:pPr>
      <w:r w:rsidRPr="00610C36">
        <w:rPr>
          <w:rFonts w:ascii="Times New Roman" w:hAnsi="Times New Roman"/>
        </w:rPr>
        <w:t>wynagrodzenie zasadnicze,</w:t>
      </w:r>
    </w:p>
    <w:p w14:paraId="02D664BD" w14:textId="77777777" w:rsidR="00B71638" w:rsidRPr="00610C36" w:rsidRDefault="00B71638" w:rsidP="00A20173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/>
        <w:ind w:left="709" w:hanging="357"/>
        <w:textAlignment w:val="baseline"/>
        <w:rPr>
          <w:rFonts w:ascii="Times New Roman" w:hAnsi="Times New Roman"/>
        </w:rPr>
      </w:pPr>
      <w:r w:rsidRPr="00610C36">
        <w:rPr>
          <w:rFonts w:ascii="Times New Roman" w:hAnsi="Times New Roman"/>
        </w:rPr>
        <w:t>nagrody jubileuszowe,</w:t>
      </w:r>
    </w:p>
    <w:p w14:paraId="75E34E72" w14:textId="77777777" w:rsidR="00B71638" w:rsidRPr="00610C36" w:rsidRDefault="00B71638" w:rsidP="00A20173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/>
        <w:ind w:left="709" w:hanging="357"/>
        <w:textAlignment w:val="baseline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odprawa </w:t>
      </w:r>
      <w:r w:rsidR="008264D9">
        <w:rPr>
          <w:rFonts w:ascii="Times New Roman" w:hAnsi="Times New Roman"/>
        </w:rPr>
        <w:t>emerytalno-rentowa</w:t>
      </w:r>
      <w:r w:rsidR="00D46432">
        <w:rPr>
          <w:rFonts w:ascii="Times New Roman" w:hAnsi="Times New Roman"/>
        </w:rPr>
        <w:t>.</w:t>
      </w:r>
    </w:p>
    <w:p w14:paraId="2C455691" w14:textId="77777777" w:rsidR="00B71638" w:rsidRPr="00610C36" w:rsidRDefault="00B71638" w:rsidP="00A20173">
      <w:pPr>
        <w:numPr>
          <w:ilvl w:val="0"/>
          <w:numId w:val="6"/>
        </w:numPr>
        <w:spacing w:after="0"/>
        <w:ind w:left="426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Zmienne składniki wynagradzania, rozumiane jako premia uznaniowa,</w:t>
      </w:r>
    </w:p>
    <w:p w14:paraId="7B16B97C" w14:textId="77777777" w:rsidR="00B71638" w:rsidRDefault="00B71638" w:rsidP="00A20173">
      <w:pPr>
        <w:numPr>
          <w:ilvl w:val="0"/>
          <w:numId w:val="6"/>
        </w:numPr>
        <w:spacing w:after="0"/>
        <w:ind w:left="426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Zasady przyznawania i wypłacania zmiennych składników wynagradzania. </w:t>
      </w:r>
    </w:p>
    <w:p w14:paraId="31D6CED2" w14:textId="77777777" w:rsidR="00F0271F" w:rsidRPr="00F0271F" w:rsidRDefault="00F0271F" w:rsidP="00F0271F">
      <w:pPr>
        <w:numPr>
          <w:ilvl w:val="0"/>
          <w:numId w:val="6"/>
        </w:numPr>
        <w:spacing w:after="0"/>
        <w:ind w:left="426" w:hanging="357"/>
        <w:jc w:val="both"/>
        <w:rPr>
          <w:rFonts w:ascii="Times New Roman" w:hAnsi="Times New Roman"/>
        </w:rPr>
      </w:pPr>
      <w:r w:rsidRPr="00F0271F">
        <w:rPr>
          <w:rFonts w:ascii="Times New Roman" w:hAnsi="Times New Roman"/>
        </w:rPr>
        <w:t xml:space="preserve">Zasady ustalania </w:t>
      </w:r>
      <w:r w:rsidR="0021568F">
        <w:rPr>
          <w:rFonts w:ascii="Times New Roman" w:hAnsi="Times New Roman"/>
        </w:rPr>
        <w:t>maksymalnego stosunku</w:t>
      </w:r>
      <w:r w:rsidRPr="00F0271F">
        <w:rPr>
          <w:rFonts w:ascii="Times New Roman" w:hAnsi="Times New Roman"/>
        </w:rPr>
        <w:t xml:space="preserve"> średniego wynagrodzenia członków Zarządu do średniego wynagradzania pracowników. </w:t>
      </w:r>
    </w:p>
    <w:p w14:paraId="18C92309" w14:textId="77777777" w:rsidR="006258B4" w:rsidRDefault="006258B4" w:rsidP="006258B4">
      <w:pPr>
        <w:spacing w:after="0"/>
        <w:ind w:left="0"/>
        <w:jc w:val="both"/>
        <w:rPr>
          <w:rFonts w:ascii="Times New Roman" w:hAnsi="Times New Roman"/>
        </w:rPr>
      </w:pPr>
    </w:p>
    <w:p w14:paraId="7751D474" w14:textId="678DAE18" w:rsidR="006258B4" w:rsidRPr="005B0DA9" w:rsidRDefault="006258B4" w:rsidP="006258B4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 xml:space="preserve">§ </w:t>
      </w:r>
      <w:r w:rsidR="005B0DA9" w:rsidRPr="005B0DA9">
        <w:rPr>
          <w:rFonts w:ascii="Times New Roman" w:hAnsi="Times New Roman"/>
          <w:b/>
          <w:bCs/>
        </w:rPr>
        <w:t>4</w:t>
      </w:r>
    </w:p>
    <w:p w14:paraId="19504B39" w14:textId="77777777" w:rsidR="006258B4" w:rsidRPr="006258B4" w:rsidRDefault="006258B4" w:rsidP="006258B4">
      <w:pPr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 xml:space="preserve">Wynagrodzenia w Banku obejmują wypłatę stałych i zmiennych składników wynagradzania. </w:t>
      </w:r>
    </w:p>
    <w:p w14:paraId="38627E88" w14:textId="77777777" w:rsidR="006258B4" w:rsidRPr="006258B4" w:rsidRDefault="006258B4" w:rsidP="006258B4">
      <w:pPr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>Wynagrodzenia członków Rady Nadzorczej ustala Zebranie Przedstawicieli, zgodnie ze Statutem Banku.</w:t>
      </w:r>
    </w:p>
    <w:p w14:paraId="359D036B" w14:textId="77777777" w:rsidR="006258B4" w:rsidRPr="006258B4" w:rsidRDefault="006258B4" w:rsidP="006258B4">
      <w:pPr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>Wynagrodzenia dla członków Zarządu ustala Rada Nadzorcza – szczegółowe zasady wynagradzania członków Zarządu są określone w zatwierdzonym przez Radę Nadzorczą Regulaminie wynagradzania członków Zarządu.</w:t>
      </w:r>
    </w:p>
    <w:p w14:paraId="6398FBCE" w14:textId="77777777" w:rsidR="006258B4" w:rsidRPr="006258B4" w:rsidRDefault="006258B4" w:rsidP="006258B4">
      <w:pPr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>Wynagrodzenia dla pracowników ustala Prezes Zarządu, pełniący funkcję kierownika zakładu pracy – szczegółowe zasady wynagradzania pracowników są określone w zatwierdzonym przez Zarząd Regulaminie wynagradzania pracowników.</w:t>
      </w:r>
    </w:p>
    <w:p w14:paraId="7F01092A" w14:textId="77777777" w:rsidR="006258B4" w:rsidRDefault="006258B4" w:rsidP="006258B4">
      <w:pPr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>Zasady wynagradzania w Banku są neutralne pod względem płci.</w:t>
      </w:r>
    </w:p>
    <w:p w14:paraId="65C98FB5" w14:textId="77777777" w:rsidR="006D7798" w:rsidRDefault="006D7798" w:rsidP="006D7798">
      <w:pPr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Wynagrodzenia przyznawane w Banku mają charakter wyłącznie pieniężny. </w:t>
      </w:r>
    </w:p>
    <w:p w14:paraId="009B11E9" w14:textId="77777777" w:rsidR="006258B4" w:rsidRPr="00610C36" w:rsidRDefault="006258B4" w:rsidP="006258B4">
      <w:pPr>
        <w:spacing w:after="0"/>
        <w:ind w:left="0"/>
        <w:jc w:val="both"/>
        <w:rPr>
          <w:rFonts w:ascii="Times New Roman" w:hAnsi="Times New Roman"/>
        </w:rPr>
      </w:pPr>
    </w:p>
    <w:p w14:paraId="580AD47C" w14:textId="6C3CD776" w:rsidR="00F1181C" w:rsidRPr="005B0DA9" w:rsidRDefault="00F1181C" w:rsidP="00610C36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 w:rsidR="00B71638" w:rsidRPr="005B0DA9">
        <w:rPr>
          <w:rFonts w:ascii="Times New Roman" w:hAnsi="Times New Roman"/>
          <w:b/>
          <w:bCs/>
        </w:rPr>
        <w:t xml:space="preserve"> </w:t>
      </w:r>
      <w:r w:rsidR="005B0DA9">
        <w:rPr>
          <w:rFonts w:ascii="Times New Roman" w:hAnsi="Times New Roman"/>
          <w:b/>
          <w:bCs/>
        </w:rPr>
        <w:t>5</w:t>
      </w:r>
    </w:p>
    <w:p w14:paraId="328685C5" w14:textId="77777777" w:rsidR="006258B4" w:rsidRPr="006258B4" w:rsidRDefault="006258B4" w:rsidP="00C805ED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 xml:space="preserve">Bank przeprowadza co najmniej raz w roku weryfikację stanowisk, występujących w Banku  oraz określa krąg pracowników, których działalność zawodowa ma istotny wpływ na jego profil ryzyka </w:t>
      </w:r>
      <w:bookmarkStart w:id="0" w:name="_Hlk88828795"/>
      <w:r w:rsidRPr="006258B4">
        <w:rPr>
          <w:rFonts w:ascii="Times New Roman" w:hAnsi="Times New Roman"/>
        </w:rPr>
        <w:t>na podstawie zapisów Rozporządzenia Parlamentu Europejskiego i Rady 2021/923</w:t>
      </w:r>
      <w:bookmarkEnd w:id="0"/>
      <w:r w:rsidRPr="006258B4">
        <w:rPr>
          <w:rFonts w:ascii="Times New Roman" w:hAnsi="Times New Roman"/>
        </w:rPr>
        <w:t>.</w:t>
      </w:r>
    </w:p>
    <w:p w14:paraId="6DC6AB02" w14:textId="77777777" w:rsidR="006258B4" w:rsidRPr="006258B4" w:rsidRDefault="006258B4" w:rsidP="00C805ED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>Osoby na stanowiskach istotnych identyfikuje się w oparciu o dwa kryteria oceny:</w:t>
      </w:r>
    </w:p>
    <w:p w14:paraId="799B60C3" w14:textId="77777777" w:rsidR="006258B4" w:rsidRPr="006258B4" w:rsidRDefault="006258B4" w:rsidP="00C805ED">
      <w:pPr>
        <w:pStyle w:val="Akapitzlist"/>
        <w:numPr>
          <w:ilvl w:val="1"/>
          <w:numId w:val="26"/>
        </w:numPr>
        <w:spacing w:after="0"/>
        <w:ind w:left="993"/>
        <w:jc w:val="both"/>
        <w:rPr>
          <w:rFonts w:ascii="Times New Roman" w:hAnsi="Times New Roman"/>
        </w:rPr>
      </w:pPr>
      <w:bookmarkStart w:id="1" w:name="_Hlk88483976"/>
      <w:r w:rsidRPr="006258B4">
        <w:rPr>
          <w:rFonts w:ascii="Times New Roman" w:hAnsi="Times New Roman"/>
        </w:rPr>
        <w:t>Kryterium jakościowe:</w:t>
      </w:r>
    </w:p>
    <w:p w14:paraId="58DC0E8D" w14:textId="77777777" w:rsidR="006C0C93" w:rsidRDefault="006258B4" w:rsidP="002474CB">
      <w:pPr>
        <w:pStyle w:val="Akapitzlist"/>
        <w:numPr>
          <w:ilvl w:val="2"/>
          <w:numId w:val="26"/>
        </w:numPr>
        <w:spacing w:after="0"/>
        <w:ind w:left="1276" w:hanging="425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 xml:space="preserve">Pracownicy, (którzy) pełnią obowiązki kierownicze mogący podejmować strategiczne lub inne decyzje o zasadniczym znaczeniu, które mają wpływ na działalność gospodarczą lub stosowane ramy kontroli. </w:t>
      </w:r>
    </w:p>
    <w:p w14:paraId="0D271EDA" w14:textId="77777777" w:rsidR="006258B4" w:rsidRPr="006C0C93" w:rsidRDefault="006258B4" w:rsidP="002474CB">
      <w:pPr>
        <w:pStyle w:val="Akapitzlist"/>
        <w:numPr>
          <w:ilvl w:val="2"/>
          <w:numId w:val="26"/>
        </w:numPr>
        <w:spacing w:after="0"/>
        <w:ind w:left="1276" w:hanging="425"/>
        <w:jc w:val="both"/>
        <w:rPr>
          <w:rFonts w:ascii="Times New Roman" w:hAnsi="Times New Roman"/>
        </w:rPr>
      </w:pPr>
      <w:r w:rsidRPr="006C0C93">
        <w:rPr>
          <w:rFonts w:ascii="Times New Roman" w:hAnsi="Times New Roman"/>
        </w:rPr>
        <w:t xml:space="preserve">pracownik pełni obowiązki kierownicze w odniesieniu do jakiejkolwiek z kategorii ryzyka określonych w art. 79–87 dyrektywy 2013/36/UE  (kredytowe, rezydualne, </w:t>
      </w:r>
      <w:r w:rsidRPr="006C0C93">
        <w:rPr>
          <w:rFonts w:ascii="Times New Roman" w:hAnsi="Times New Roman"/>
        </w:rPr>
        <w:lastRenderedPageBreak/>
        <w:t>koncentracji, rynkowe, stopy procentowej, operacyjne, płynności, nadmiernej dźwigni finansowej),</w:t>
      </w:r>
    </w:p>
    <w:p w14:paraId="30D74CB1" w14:textId="77777777" w:rsidR="006258B4" w:rsidRPr="006258B4" w:rsidRDefault="006258B4" w:rsidP="002474CB">
      <w:pPr>
        <w:pStyle w:val="Akapitzlist"/>
        <w:numPr>
          <w:ilvl w:val="2"/>
          <w:numId w:val="26"/>
        </w:numPr>
        <w:ind w:left="1276" w:hanging="425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>odnośnie do ekspozycji na ryzyko kredytowe i kontrahenta kwoty nominalnej na transakcję, która to kwota stanowi 0,5 % kapitału podstawowego Tier I instytucji i wynosi co najmniej 5 mln EUR, pracownik ma uprawnienia do podejmowania, zatwierdzania lub wetowania decyzji w sprawie takiej ekspozycji na ryzyko kredytowe;</w:t>
      </w:r>
    </w:p>
    <w:p w14:paraId="4EA5DE51" w14:textId="77777777" w:rsidR="006C0C93" w:rsidRDefault="006258B4" w:rsidP="002474CB">
      <w:pPr>
        <w:pStyle w:val="Akapitzlist"/>
        <w:numPr>
          <w:ilvl w:val="2"/>
          <w:numId w:val="26"/>
        </w:numPr>
        <w:ind w:left="1276" w:hanging="425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>pracownik jest kierownikiem grupy pracowników, którzy mają indywidualne uprawnienia do zobowiązania danej insty</w:t>
      </w:r>
      <w:r w:rsidRPr="006258B4">
        <w:rPr>
          <w:rFonts w:ascii="Times New Roman" w:hAnsi="Times New Roman"/>
        </w:rPr>
        <w:softHyphen/>
        <w:t>tucji do przeprowadzania transakcji w wysokości o której mowa w li. c,</w:t>
      </w:r>
    </w:p>
    <w:p w14:paraId="4C4EB639" w14:textId="77777777" w:rsidR="006258B4" w:rsidRPr="006C0C93" w:rsidRDefault="006258B4" w:rsidP="002474CB">
      <w:pPr>
        <w:pStyle w:val="Akapitzlist"/>
        <w:numPr>
          <w:ilvl w:val="2"/>
          <w:numId w:val="26"/>
        </w:numPr>
        <w:ind w:left="1276" w:hanging="425"/>
        <w:jc w:val="both"/>
        <w:rPr>
          <w:rFonts w:ascii="Times New Roman" w:hAnsi="Times New Roman"/>
        </w:rPr>
      </w:pPr>
      <w:r w:rsidRPr="006C0C93">
        <w:rPr>
          <w:rFonts w:ascii="Times New Roman" w:hAnsi="Times New Roman"/>
        </w:rPr>
        <w:t>pracownik posiada uprawnienia do podejmowania decyzji w sprawie nowych produktów bankowych.</w:t>
      </w:r>
    </w:p>
    <w:p w14:paraId="02B178A9" w14:textId="77777777" w:rsidR="006258B4" w:rsidRPr="006258B4" w:rsidRDefault="006258B4" w:rsidP="00C805ED">
      <w:pPr>
        <w:pStyle w:val="Akapitzlist"/>
        <w:numPr>
          <w:ilvl w:val="1"/>
          <w:numId w:val="26"/>
        </w:numPr>
        <w:spacing w:after="0"/>
        <w:ind w:left="1134"/>
        <w:jc w:val="both"/>
        <w:rPr>
          <w:rFonts w:ascii="Times New Roman" w:hAnsi="Times New Roman"/>
        </w:rPr>
      </w:pPr>
      <w:r w:rsidRPr="006258B4">
        <w:rPr>
          <w:rFonts w:ascii="Times New Roman" w:hAnsi="Times New Roman"/>
        </w:rPr>
        <w:t>Kryterium ilościowe - pracownik ma istotny wpływ na profil ryzyka instytucji, jeżeli pracownikowi, przyznano w poprzednim roku obrachunkowym lub za poprzedni rok obrachunkowy łączne wynagrodzenie równe co najmniej 750 000 EUR.</w:t>
      </w:r>
      <w:bookmarkEnd w:id="1"/>
    </w:p>
    <w:p w14:paraId="6D6E979A" w14:textId="77777777" w:rsidR="00610C36" w:rsidRPr="00610C36" w:rsidRDefault="006258B4" w:rsidP="00C805ED">
      <w:pPr>
        <w:numPr>
          <w:ilvl w:val="0"/>
          <w:numId w:val="25"/>
        </w:num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stanowisk istotnych</w:t>
      </w:r>
      <w:r w:rsidR="00610C36" w:rsidRPr="00610C36">
        <w:rPr>
          <w:rFonts w:ascii="Times New Roman" w:hAnsi="Times New Roman"/>
        </w:rPr>
        <w:t xml:space="preserve">, o których mowa w §24 Rozporządzenia Ministra </w:t>
      </w:r>
      <w:r>
        <w:rPr>
          <w:rFonts w:ascii="Times New Roman" w:hAnsi="Times New Roman"/>
        </w:rPr>
        <w:t>Finansów, Funduszy i Polityki Regionalnej z dnia 08.06.2021r.</w:t>
      </w:r>
      <w:r w:rsidR="00610C36" w:rsidRPr="00610C36">
        <w:rPr>
          <w:rFonts w:ascii="Times New Roman" w:hAnsi="Times New Roman"/>
        </w:rPr>
        <w:t xml:space="preserve"> oraz w Rozporządzeniu </w:t>
      </w:r>
      <w:r>
        <w:rPr>
          <w:rFonts w:ascii="Times New Roman" w:hAnsi="Times New Roman"/>
        </w:rPr>
        <w:t>923/2021</w:t>
      </w:r>
      <w:r w:rsidR="00610C36" w:rsidRPr="00610C36">
        <w:rPr>
          <w:rFonts w:ascii="Times New Roman" w:hAnsi="Times New Roman"/>
        </w:rPr>
        <w:t xml:space="preserve"> Parlamentu Europejskiego i Rady (UE) w Banku zalicza się </w:t>
      </w:r>
      <w:r w:rsidR="008C12F3">
        <w:rPr>
          <w:rFonts w:ascii="Times New Roman" w:hAnsi="Times New Roman"/>
        </w:rPr>
        <w:t>:</w:t>
      </w:r>
    </w:p>
    <w:p w14:paraId="46BACF3B" w14:textId="77777777" w:rsidR="00610C36" w:rsidRPr="00610C36" w:rsidRDefault="00610C36" w:rsidP="00A56298">
      <w:pPr>
        <w:numPr>
          <w:ilvl w:val="0"/>
          <w:numId w:val="32"/>
        </w:numPr>
        <w:spacing w:after="0"/>
        <w:rPr>
          <w:rFonts w:ascii="Times New Roman" w:hAnsi="Times New Roman"/>
        </w:rPr>
      </w:pPr>
      <w:r w:rsidRPr="00610C36">
        <w:rPr>
          <w:rFonts w:ascii="Times New Roman" w:hAnsi="Times New Roman"/>
        </w:rPr>
        <w:t>Członków Rady Nadzorczej</w:t>
      </w:r>
    </w:p>
    <w:p w14:paraId="07ACE493" w14:textId="77777777" w:rsidR="00610C36" w:rsidRDefault="00610C36" w:rsidP="00A56298">
      <w:pPr>
        <w:numPr>
          <w:ilvl w:val="0"/>
          <w:numId w:val="32"/>
        </w:numPr>
        <w:spacing w:after="0"/>
        <w:rPr>
          <w:rFonts w:ascii="Times New Roman" w:hAnsi="Times New Roman"/>
        </w:rPr>
      </w:pPr>
      <w:r w:rsidRPr="00610C36">
        <w:rPr>
          <w:rFonts w:ascii="Times New Roman" w:hAnsi="Times New Roman"/>
        </w:rPr>
        <w:t>Członków Zarządu</w:t>
      </w:r>
    </w:p>
    <w:p w14:paraId="361B2D8F" w14:textId="17783393" w:rsidR="00A56298" w:rsidRDefault="00A56298" w:rsidP="00A56298">
      <w:pPr>
        <w:numPr>
          <w:ilvl w:val="0"/>
          <w:numId w:val="3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Głównego księgowego</w:t>
      </w:r>
    </w:p>
    <w:p w14:paraId="65E312DA" w14:textId="67DA308D" w:rsidR="00A426A2" w:rsidRPr="00610C36" w:rsidRDefault="00394D73" w:rsidP="00A56298">
      <w:pPr>
        <w:numPr>
          <w:ilvl w:val="0"/>
          <w:numId w:val="3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Stanowisko</w:t>
      </w:r>
      <w:r w:rsidR="00A426A2">
        <w:rPr>
          <w:rFonts w:ascii="Times New Roman" w:hAnsi="Times New Roman"/>
        </w:rPr>
        <w:t xml:space="preserve"> ds. zgodności</w:t>
      </w:r>
    </w:p>
    <w:p w14:paraId="0EC9A296" w14:textId="77777777" w:rsidR="00B71638" w:rsidRPr="00610C36" w:rsidRDefault="00B71638" w:rsidP="00C805ED">
      <w:pPr>
        <w:numPr>
          <w:ilvl w:val="0"/>
          <w:numId w:val="25"/>
        </w:numPr>
        <w:ind w:left="425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Z uwagi na fakt, że </w:t>
      </w:r>
      <w:r w:rsidR="006258B4">
        <w:rPr>
          <w:rFonts w:ascii="Times New Roman" w:hAnsi="Times New Roman"/>
        </w:rPr>
        <w:t>żaden z pracowników banku nie posiada kompetencji decyzyjnych</w:t>
      </w:r>
      <w:r w:rsidRPr="00610C36">
        <w:rPr>
          <w:rFonts w:ascii="Times New Roman" w:hAnsi="Times New Roman"/>
        </w:rPr>
        <w:t xml:space="preserve"> przekraczających 5 mln EUR oraz Bank nie posiada jednostek istotnych w rozumieniu Rozporządzenia 575/2013 PE, do stanowisk istotnych nie zalicza się innych stanowisk.</w:t>
      </w:r>
    </w:p>
    <w:p w14:paraId="686F1D65" w14:textId="51D19051" w:rsidR="00853BAE" w:rsidRPr="005B0DA9" w:rsidRDefault="00853BAE" w:rsidP="00610C36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 w:rsidR="00302661" w:rsidRPr="005B0DA9">
        <w:rPr>
          <w:rFonts w:ascii="Times New Roman" w:hAnsi="Times New Roman"/>
          <w:b/>
          <w:bCs/>
        </w:rPr>
        <w:t xml:space="preserve"> </w:t>
      </w:r>
      <w:r w:rsidR="005B0DA9">
        <w:rPr>
          <w:rFonts w:ascii="Times New Roman" w:hAnsi="Times New Roman"/>
          <w:b/>
          <w:bCs/>
        </w:rPr>
        <w:t>6</w:t>
      </w:r>
    </w:p>
    <w:p w14:paraId="09C7A1C8" w14:textId="77777777" w:rsidR="00B45E30" w:rsidRPr="00610C36" w:rsidRDefault="00B45E30" w:rsidP="00610C36">
      <w:pPr>
        <w:spacing w:line="276" w:lineRule="auto"/>
        <w:ind w:left="0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Do składników wynagradzania zalicza się: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  <w:gridCol w:w="2126"/>
      </w:tblGrid>
      <w:tr w:rsidR="00B45E30" w:rsidRPr="00610C36" w14:paraId="5ACF34EA" w14:textId="77777777" w:rsidTr="00FD4342">
        <w:tc>
          <w:tcPr>
            <w:tcW w:w="2410" w:type="dxa"/>
          </w:tcPr>
          <w:p w14:paraId="4A963352" w14:textId="77777777" w:rsidR="00B45E30" w:rsidRPr="00610C36" w:rsidRDefault="00B45E30" w:rsidP="006C0C93">
            <w:pPr>
              <w:spacing w:after="0"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14:paraId="7F3BBD6E" w14:textId="77777777" w:rsidR="00B45E30" w:rsidRPr="00610C36" w:rsidRDefault="00B45E30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>Stałe składniki</w:t>
            </w:r>
          </w:p>
        </w:tc>
        <w:tc>
          <w:tcPr>
            <w:tcW w:w="2126" w:type="dxa"/>
            <w:vAlign w:val="center"/>
          </w:tcPr>
          <w:p w14:paraId="31DF33B3" w14:textId="77777777" w:rsidR="00B45E30" w:rsidRPr="00610C36" w:rsidRDefault="00B45E30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>Zmienne składniki</w:t>
            </w:r>
          </w:p>
        </w:tc>
      </w:tr>
      <w:tr w:rsidR="00B45E30" w:rsidRPr="00610C36" w14:paraId="79ABFB16" w14:textId="77777777" w:rsidTr="00FD4342">
        <w:tc>
          <w:tcPr>
            <w:tcW w:w="2410" w:type="dxa"/>
            <w:vAlign w:val="center"/>
          </w:tcPr>
          <w:p w14:paraId="5A2DDB82" w14:textId="77777777" w:rsidR="00B45E30" w:rsidRPr="00610C36" w:rsidRDefault="00B45E30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>Członkowie Rady Nadzorczej</w:t>
            </w:r>
          </w:p>
        </w:tc>
        <w:tc>
          <w:tcPr>
            <w:tcW w:w="3969" w:type="dxa"/>
            <w:vAlign w:val="center"/>
          </w:tcPr>
          <w:p w14:paraId="2C4AF6A6" w14:textId="77777777" w:rsidR="006C0C93" w:rsidRDefault="00B45E30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 xml:space="preserve">Wynagrodzenie za udział w posiedzeniu </w:t>
            </w:r>
          </w:p>
          <w:p w14:paraId="52E511C6" w14:textId="77777777" w:rsidR="006C0C93" w:rsidRDefault="00B45E30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>oraz za udział w szkoleniach,</w:t>
            </w:r>
          </w:p>
          <w:p w14:paraId="38E7C01B" w14:textId="77777777" w:rsidR="00B45E30" w:rsidRPr="00610C36" w:rsidRDefault="00B45E30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 xml:space="preserve"> których koszt ponosi Bank</w:t>
            </w:r>
          </w:p>
        </w:tc>
        <w:tc>
          <w:tcPr>
            <w:tcW w:w="2126" w:type="dxa"/>
            <w:vAlign w:val="center"/>
          </w:tcPr>
          <w:p w14:paraId="2DC1AA38" w14:textId="77777777" w:rsidR="00B45E30" w:rsidRPr="00610C36" w:rsidRDefault="00B45E30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>Brak</w:t>
            </w:r>
          </w:p>
        </w:tc>
      </w:tr>
      <w:tr w:rsidR="00EC3743" w:rsidRPr="00610C36" w14:paraId="4906FCC2" w14:textId="77777777" w:rsidTr="00EC3743">
        <w:trPr>
          <w:trHeight w:val="475"/>
        </w:trPr>
        <w:tc>
          <w:tcPr>
            <w:tcW w:w="2410" w:type="dxa"/>
            <w:vAlign w:val="center"/>
          </w:tcPr>
          <w:p w14:paraId="55CC658A" w14:textId="77777777" w:rsidR="00EC3743" w:rsidRPr="00610C36" w:rsidRDefault="00EC3743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>Członkowie Zarządu</w:t>
            </w:r>
          </w:p>
        </w:tc>
        <w:tc>
          <w:tcPr>
            <w:tcW w:w="3969" w:type="dxa"/>
            <w:vMerge w:val="restart"/>
            <w:vAlign w:val="center"/>
          </w:tcPr>
          <w:p w14:paraId="1D60445D" w14:textId="6E07CE11" w:rsidR="00EC3743" w:rsidRPr="00610C36" w:rsidRDefault="00EC3743" w:rsidP="00EC374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>Składniki stałe wymienione w §</w:t>
            </w:r>
            <w:r>
              <w:rPr>
                <w:rFonts w:ascii="Times New Roman" w:hAnsi="Times New Roman"/>
              </w:rPr>
              <w:t>3</w:t>
            </w:r>
            <w:r w:rsidRPr="00610C36">
              <w:rPr>
                <w:rFonts w:ascii="Times New Roman" w:hAnsi="Times New Roman"/>
              </w:rPr>
              <w:t xml:space="preserve"> ust.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112B6679" w14:textId="77777777" w:rsidR="00EC3743" w:rsidRPr="00610C36" w:rsidRDefault="00EC3743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 w:rsidRPr="00610C36">
              <w:rPr>
                <w:rFonts w:ascii="Times New Roman" w:hAnsi="Times New Roman"/>
              </w:rPr>
              <w:t>Premia uznaniowa</w:t>
            </w:r>
          </w:p>
        </w:tc>
      </w:tr>
      <w:tr w:rsidR="00EC3743" w:rsidRPr="00610C36" w14:paraId="7E989E97" w14:textId="77777777" w:rsidTr="00FD4342">
        <w:tc>
          <w:tcPr>
            <w:tcW w:w="2410" w:type="dxa"/>
            <w:vAlign w:val="center"/>
          </w:tcPr>
          <w:p w14:paraId="45AA43D3" w14:textId="5E2AEA24" w:rsidR="00EC3743" w:rsidRPr="00610C36" w:rsidRDefault="00EC3743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Pozostali pracownicy na stanowiskach istotnych</w:t>
            </w:r>
          </w:p>
        </w:tc>
        <w:tc>
          <w:tcPr>
            <w:tcW w:w="3969" w:type="dxa"/>
            <w:vMerge/>
            <w:vAlign w:val="center"/>
          </w:tcPr>
          <w:p w14:paraId="2FF8C1EE" w14:textId="1AC666AB" w:rsidR="00EC3743" w:rsidRPr="00610C36" w:rsidRDefault="00EC3743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5349DDA" w14:textId="2F958977" w:rsidR="00EC3743" w:rsidRPr="00610C36" w:rsidRDefault="00EC3743" w:rsidP="006C0C93">
            <w:p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2C1B7F49" w14:textId="77777777" w:rsidR="00680935" w:rsidRDefault="00680935" w:rsidP="00610C36">
      <w:pPr>
        <w:ind w:left="0"/>
        <w:jc w:val="center"/>
        <w:rPr>
          <w:rFonts w:ascii="Times New Roman" w:hAnsi="Times New Roman"/>
        </w:rPr>
      </w:pPr>
    </w:p>
    <w:p w14:paraId="35EEE112" w14:textId="112AD1FE" w:rsidR="00F1181C" w:rsidRPr="005B0DA9" w:rsidRDefault="00F1181C" w:rsidP="00610C36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 w:rsidR="00610C36" w:rsidRPr="005B0DA9">
        <w:rPr>
          <w:rFonts w:ascii="Times New Roman" w:hAnsi="Times New Roman"/>
          <w:b/>
          <w:bCs/>
        </w:rPr>
        <w:t xml:space="preserve"> </w:t>
      </w:r>
      <w:r w:rsidR="005B0DA9" w:rsidRPr="005B0DA9">
        <w:rPr>
          <w:rFonts w:ascii="Times New Roman" w:hAnsi="Times New Roman"/>
          <w:b/>
          <w:bCs/>
        </w:rPr>
        <w:t>7</w:t>
      </w:r>
    </w:p>
    <w:p w14:paraId="283D494E" w14:textId="77777777" w:rsidR="00B45E30" w:rsidRPr="00610C36" w:rsidRDefault="00B45E30" w:rsidP="00305608">
      <w:pPr>
        <w:numPr>
          <w:ilvl w:val="0"/>
          <w:numId w:val="17"/>
        </w:numPr>
        <w:spacing w:after="0"/>
        <w:ind w:left="284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lastRenderedPageBreak/>
        <w:t xml:space="preserve">Wysokość wynagrodzenia członków Rady Nadzorczej ustala Zgromadzenie Przedstawicieli. </w:t>
      </w:r>
    </w:p>
    <w:p w14:paraId="5232000A" w14:textId="77777777" w:rsidR="00B45E30" w:rsidRPr="00610C36" w:rsidRDefault="00B45E30" w:rsidP="00305608">
      <w:pPr>
        <w:numPr>
          <w:ilvl w:val="0"/>
          <w:numId w:val="17"/>
        </w:numPr>
        <w:spacing w:after="0"/>
        <w:ind w:left="284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Rada Nadzorcza otrzymuje tylko stałe składniki wynagrodzenia</w:t>
      </w:r>
      <w:r w:rsidRPr="00610C36">
        <w:rPr>
          <w:rFonts w:ascii="Times New Roman" w:hAnsi="Times New Roman"/>
          <w:color w:val="00B050"/>
        </w:rPr>
        <w:t>.</w:t>
      </w:r>
    </w:p>
    <w:p w14:paraId="31E8696C" w14:textId="77777777" w:rsidR="00A56298" w:rsidRDefault="00B45E30" w:rsidP="00A56298">
      <w:pPr>
        <w:numPr>
          <w:ilvl w:val="0"/>
          <w:numId w:val="17"/>
        </w:numPr>
        <w:spacing w:after="0"/>
        <w:ind w:left="284" w:hanging="357"/>
        <w:jc w:val="both"/>
        <w:rPr>
          <w:rFonts w:ascii="Times New Roman" w:hAnsi="Times New Roman"/>
        </w:rPr>
      </w:pPr>
      <w:r w:rsidRPr="00677CC7">
        <w:rPr>
          <w:rFonts w:ascii="Times New Roman" w:hAnsi="Times New Roman"/>
        </w:rPr>
        <w:t>Wysokość wynagrodzenia stałego i zmiennego dla członków Zarządu ustala Rada Nadzorcza</w:t>
      </w:r>
    </w:p>
    <w:p w14:paraId="27D7849A" w14:textId="1CAE1924" w:rsidR="00A56298" w:rsidRPr="00A56298" w:rsidRDefault="00A56298" w:rsidP="00A56298">
      <w:pPr>
        <w:numPr>
          <w:ilvl w:val="0"/>
          <w:numId w:val="17"/>
        </w:numPr>
        <w:spacing w:after="0"/>
        <w:ind w:left="284" w:hanging="357"/>
        <w:jc w:val="both"/>
        <w:rPr>
          <w:rFonts w:ascii="Times New Roman" w:hAnsi="Times New Roman"/>
        </w:rPr>
      </w:pPr>
      <w:r w:rsidRPr="00A56298">
        <w:rPr>
          <w:rFonts w:ascii="Times New Roman" w:hAnsi="Times New Roman"/>
        </w:rPr>
        <w:t xml:space="preserve">Wysokość wynagrodzenia stałego dla </w:t>
      </w:r>
      <w:r>
        <w:rPr>
          <w:rFonts w:ascii="Times New Roman" w:hAnsi="Times New Roman"/>
        </w:rPr>
        <w:t>pozostałych pracowników ustala Prezes Zarządu.</w:t>
      </w:r>
    </w:p>
    <w:p w14:paraId="10E26686" w14:textId="0F03DE8F" w:rsidR="007D1596" w:rsidRPr="005B0DA9" w:rsidRDefault="007D1596" w:rsidP="00610C36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 w:rsidR="00610C36" w:rsidRPr="005B0DA9">
        <w:rPr>
          <w:rFonts w:ascii="Times New Roman" w:hAnsi="Times New Roman"/>
          <w:b/>
          <w:bCs/>
        </w:rPr>
        <w:t xml:space="preserve"> </w:t>
      </w:r>
      <w:r w:rsidR="005B0DA9" w:rsidRPr="005B0DA9">
        <w:rPr>
          <w:rFonts w:ascii="Times New Roman" w:hAnsi="Times New Roman"/>
          <w:b/>
          <w:bCs/>
        </w:rPr>
        <w:t>8</w:t>
      </w:r>
    </w:p>
    <w:p w14:paraId="5883DCE6" w14:textId="77777777" w:rsidR="007D1596" w:rsidRPr="00610C36" w:rsidRDefault="007D1596" w:rsidP="00305608">
      <w:pPr>
        <w:numPr>
          <w:ilvl w:val="0"/>
          <w:numId w:val="7"/>
        </w:numPr>
        <w:ind w:left="284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Łączna kwota wypłaconych zmiennych składników wynagradzania osobom zajmującym stanowiska istotne w Banku za dany rok nie może spowodować obniżenia wyniku finansowego do poziomu, który nie zapewni realnego przyrostu funduszy własnych Banku oraz budowy bezpiecznej bazy kapitałowej.</w:t>
      </w:r>
    </w:p>
    <w:p w14:paraId="55BE4290" w14:textId="77777777" w:rsidR="007D1596" w:rsidRPr="00610C36" w:rsidRDefault="007D1596" w:rsidP="00305608">
      <w:pPr>
        <w:numPr>
          <w:ilvl w:val="0"/>
          <w:numId w:val="7"/>
        </w:numPr>
        <w:ind w:left="284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Stosując zasadę proporcjonalności Bank wypłaca całość premii uznaniowej po przyznaniu, z uwzględnieniem ust.3.</w:t>
      </w:r>
    </w:p>
    <w:p w14:paraId="7F0C7470" w14:textId="77777777" w:rsidR="007D1596" w:rsidRDefault="007D1596" w:rsidP="00305608">
      <w:pPr>
        <w:numPr>
          <w:ilvl w:val="0"/>
          <w:numId w:val="7"/>
        </w:numPr>
        <w:ind w:left="284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Wysokość zmiennych składników wynagradzania nie może być wyższa niż 100% wynagrodzenia zasadniczego osób zajmujących stanowiska istotne, a wynagrodzenie zasadnicze powinno mieć taką wysokość, aby Bank mógł prowadzić elastyczną politykę wynagrodzeń w zakresie zmiennych składników.</w:t>
      </w:r>
    </w:p>
    <w:p w14:paraId="1BDBDCA2" w14:textId="77777777" w:rsidR="000A4F9C" w:rsidRPr="00AB531C" w:rsidRDefault="000A4F9C" w:rsidP="00305608">
      <w:pPr>
        <w:numPr>
          <w:ilvl w:val="0"/>
          <w:numId w:val="7"/>
        </w:numPr>
        <w:ind w:left="284" w:hanging="357"/>
        <w:jc w:val="both"/>
        <w:rPr>
          <w:rFonts w:ascii="Times New Roman" w:hAnsi="Times New Roman"/>
        </w:rPr>
      </w:pPr>
      <w:r w:rsidRPr="00AB531C">
        <w:rPr>
          <w:rFonts w:ascii="Times New Roman" w:hAnsi="Times New Roman"/>
          <w:sz w:val="24"/>
          <w:szCs w:val="24"/>
        </w:rPr>
        <w:t>Stosunek zmiennego wynagrodzenia do stałego wynagrodzenia wyliczany jest za dany rok kalendarzowy i uwzględnia składniki wynagrodzeń, które przyznano oraz zaprognozowano pracownikowi w danym roku kalendarzowym.</w:t>
      </w:r>
    </w:p>
    <w:p w14:paraId="5CABF4B6" w14:textId="4E97AF6C" w:rsidR="00DF586A" w:rsidRPr="005B0DA9" w:rsidRDefault="00610C36" w:rsidP="00610C36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 xml:space="preserve">§ </w:t>
      </w:r>
      <w:r w:rsidR="005B0DA9" w:rsidRPr="005B0DA9">
        <w:rPr>
          <w:rFonts w:ascii="Times New Roman" w:hAnsi="Times New Roman"/>
          <w:b/>
          <w:bCs/>
        </w:rPr>
        <w:t>9</w:t>
      </w:r>
    </w:p>
    <w:p w14:paraId="4BD7DD5B" w14:textId="77777777" w:rsidR="00DF586A" w:rsidRPr="00610C36" w:rsidRDefault="00DF586A" w:rsidP="00305608">
      <w:pPr>
        <w:numPr>
          <w:ilvl w:val="0"/>
          <w:numId w:val="9"/>
        </w:numPr>
        <w:tabs>
          <w:tab w:val="clear" w:pos="1146"/>
          <w:tab w:val="num" w:pos="-426"/>
        </w:tabs>
        <w:spacing w:before="120" w:after="120"/>
        <w:ind w:left="426" w:hanging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Oceny efektów pracy </w:t>
      </w:r>
      <w:r w:rsidR="00910CC7">
        <w:rPr>
          <w:rFonts w:ascii="Times New Roman" w:hAnsi="Times New Roman"/>
        </w:rPr>
        <w:t>Członków Zarządu</w:t>
      </w:r>
      <w:r w:rsidRPr="00610C36">
        <w:rPr>
          <w:rFonts w:ascii="Times New Roman" w:hAnsi="Times New Roman"/>
        </w:rPr>
        <w:t xml:space="preserve"> </w:t>
      </w:r>
      <w:r w:rsidR="00FF5A11" w:rsidRPr="00610C36">
        <w:rPr>
          <w:rFonts w:ascii="Times New Roman" w:hAnsi="Times New Roman"/>
        </w:rPr>
        <w:t xml:space="preserve">przy przyznawaniu zmiennych składników wynagradzania </w:t>
      </w:r>
      <w:r w:rsidRPr="00610C36">
        <w:rPr>
          <w:rFonts w:ascii="Times New Roman" w:hAnsi="Times New Roman"/>
        </w:rPr>
        <w:t>dokonuje Rada Nadzorcza</w:t>
      </w:r>
      <w:r w:rsidR="007D1596" w:rsidRPr="00610C36">
        <w:rPr>
          <w:rFonts w:ascii="Times New Roman" w:hAnsi="Times New Roman"/>
        </w:rPr>
        <w:t xml:space="preserve"> w oparciu o kry</w:t>
      </w:r>
      <w:r w:rsidR="00910CC7">
        <w:rPr>
          <w:rFonts w:ascii="Times New Roman" w:hAnsi="Times New Roman"/>
        </w:rPr>
        <w:t>terium ilościowe i jakościowe (</w:t>
      </w:r>
      <w:r w:rsidR="007D1596" w:rsidRPr="00610C36">
        <w:rPr>
          <w:rFonts w:ascii="Times New Roman" w:hAnsi="Times New Roman"/>
        </w:rPr>
        <w:t>każdorazowo przed przyznaniem premii)</w:t>
      </w:r>
    </w:p>
    <w:p w14:paraId="3353D3D6" w14:textId="1E09DEB0" w:rsidR="00DF586A" w:rsidRPr="00610C36" w:rsidRDefault="00DF586A" w:rsidP="00305608">
      <w:pPr>
        <w:numPr>
          <w:ilvl w:val="0"/>
          <w:numId w:val="9"/>
        </w:numPr>
        <w:tabs>
          <w:tab w:val="clear" w:pos="1146"/>
          <w:tab w:val="num" w:pos="-426"/>
        </w:tabs>
        <w:spacing w:before="120" w:after="120"/>
        <w:ind w:left="426" w:hanging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Ocena efektów pracy </w:t>
      </w:r>
      <w:r w:rsidR="009F7091" w:rsidRPr="009F7091">
        <w:rPr>
          <w:rFonts w:ascii="Times New Roman" w:hAnsi="Times New Roman"/>
        </w:rPr>
        <w:t xml:space="preserve">Członków Zarządu </w:t>
      </w:r>
      <w:r w:rsidRPr="00610C36">
        <w:rPr>
          <w:rFonts w:ascii="Times New Roman" w:hAnsi="Times New Roman"/>
        </w:rPr>
        <w:t>obejmuje następujące wskaźniki Banku osiągane w ostatnich trzech latach</w:t>
      </w:r>
      <w:r w:rsidR="006819A6" w:rsidRPr="00610C36">
        <w:rPr>
          <w:rFonts w:ascii="Times New Roman" w:hAnsi="Times New Roman"/>
        </w:rPr>
        <w:t xml:space="preserve"> (kryterium ilościowe) w odniesieniu do założonego planu ekonomiczno - finansowego</w:t>
      </w:r>
      <w:r w:rsidRPr="00610C36">
        <w:rPr>
          <w:rFonts w:ascii="Times New Roman" w:hAnsi="Times New Roman"/>
        </w:rPr>
        <w:t>:</w:t>
      </w:r>
    </w:p>
    <w:p w14:paraId="31F2822C" w14:textId="77777777" w:rsidR="00DF586A" w:rsidRPr="00610C36" w:rsidRDefault="00DF586A" w:rsidP="00FF5A11">
      <w:pPr>
        <w:numPr>
          <w:ilvl w:val="0"/>
          <w:numId w:val="22"/>
        </w:numPr>
        <w:tabs>
          <w:tab w:val="clear" w:pos="1440"/>
        </w:tabs>
        <w:spacing w:after="0"/>
        <w:ind w:left="851"/>
        <w:rPr>
          <w:rFonts w:ascii="Times New Roman" w:hAnsi="Times New Roman"/>
        </w:rPr>
      </w:pPr>
      <w:r w:rsidRPr="00610C36">
        <w:rPr>
          <w:rFonts w:ascii="Times New Roman" w:hAnsi="Times New Roman"/>
        </w:rPr>
        <w:t>zysk netto,</w:t>
      </w:r>
    </w:p>
    <w:p w14:paraId="3F78AC20" w14:textId="77777777" w:rsidR="00DF586A" w:rsidRPr="00610C36" w:rsidRDefault="00DF586A" w:rsidP="00FF5A11">
      <w:pPr>
        <w:numPr>
          <w:ilvl w:val="0"/>
          <w:numId w:val="22"/>
        </w:numPr>
        <w:tabs>
          <w:tab w:val="clear" w:pos="1440"/>
        </w:tabs>
        <w:spacing w:after="0"/>
        <w:ind w:left="851"/>
        <w:rPr>
          <w:rFonts w:ascii="Times New Roman" w:hAnsi="Times New Roman"/>
        </w:rPr>
      </w:pPr>
      <w:r w:rsidRPr="00610C36">
        <w:rPr>
          <w:rFonts w:ascii="Times New Roman" w:hAnsi="Times New Roman"/>
        </w:rPr>
        <w:t>zwrot z kapitału własnego (ROE),</w:t>
      </w:r>
    </w:p>
    <w:p w14:paraId="13700ECF" w14:textId="77777777" w:rsidR="00DF586A" w:rsidRPr="00610C36" w:rsidRDefault="00DF586A" w:rsidP="00FF5A11">
      <w:pPr>
        <w:numPr>
          <w:ilvl w:val="0"/>
          <w:numId w:val="22"/>
        </w:numPr>
        <w:tabs>
          <w:tab w:val="clear" w:pos="1440"/>
        </w:tabs>
        <w:spacing w:after="0"/>
        <w:ind w:left="851"/>
        <w:rPr>
          <w:rFonts w:ascii="Times New Roman" w:hAnsi="Times New Roman"/>
        </w:rPr>
      </w:pPr>
      <w:r w:rsidRPr="00610C36">
        <w:rPr>
          <w:rFonts w:ascii="Times New Roman" w:hAnsi="Times New Roman"/>
        </w:rPr>
        <w:t>jakość portfela kredytowego,</w:t>
      </w:r>
    </w:p>
    <w:p w14:paraId="4CF4E41B" w14:textId="77777777" w:rsidR="00DF586A" w:rsidRPr="00610C36" w:rsidRDefault="00DF586A" w:rsidP="00FF5A11">
      <w:pPr>
        <w:numPr>
          <w:ilvl w:val="0"/>
          <w:numId w:val="22"/>
        </w:numPr>
        <w:tabs>
          <w:tab w:val="clear" w:pos="1440"/>
        </w:tabs>
        <w:spacing w:after="0"/>
        <w:ind w:left="851"/>
        <w:rPr>
          <w:rFonts w:ascii="Times New Roman" w:hAnsi="Times New Roman"/>
        </w:rPr>
      </w:pPr>
      <w:r w:rsidRPr="00610C36">
        <w:rPr>
          <w:rFonts w:ascii="Times New Roman" w:hAnsi="Times New Roman"/>
        </w:rPr>
        <w:t>współczynnik wypłacalności,</w:t>
      </w:r>
    </w:p>
    <w:p w14:paraId="69DFAF88" w14:textId="77777777" w:rsidR="00CF38B7" w:rsidRPr="00EA22B2" w:rsidRDefault="00DF586A" w:rsidP="00305608">
      <w:pPr>
        <w:numPr>
          <w:ilvl w:val="0"/>
          <w:numId w:val="9"/>
        </w:numPr>
        <w:tabs>
          <w:tab w:val="clear" w:pos="1146"/>
          <w:tab w:val="num" w:pos="-426"/>
        </w:tabs>
        <w:spacing w:before="120" w:after="120"/>
        <w:ind w:left="426" w:hanging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Ocenie podlega stopień wykonania wymienionych w ust. 2 wskaźników w  </w:t>
      </w:r>
      <w:r w:rsidR="007D1596" w:rsidRPr="00610C36">
        <w:rPr>
          <w:rFonts w:ascii="Times New Roman" w:hAnsi="Times New Roman"/>
        </w:rPr>
        <w:t xml:space="preserve">odniesieniu </w:t>
      </w:r>
      <w:r w:rsidR="007D1596" w:rsidRPr="00610C36">
        <w:rPr>
          <w:rFonts w:ascii="Times New Roman" w:hAnsi="Times New Roman"/>
        </w:rPr>
        <w:br/>
        <w:t xml:space="preserve">do </w:t>
      </w:r>
      <w:r w:rsidR="007D1596" w:rsidRPr="007F26FD">
        <w:rPr>
          <w:rFonts w:ascii="Times New Roman" w:hAnsi="Times New Roman"/>
        </w:rPr>
        <w:t>Strategii działania Banku w poszczególnych</w:t>
      </w:r>
      <w:r w:rsidR="007D1596" w:rsidRPr="00610C36">
        <w:rPr>
          <w:rFonts w:ascii="Times New Roman" w:hAnsi="Times New Roman"/>
        </w:rPr>
        <w:t xml:space="preserve"> latach podlegających ocenie </w:t>
      </w:r>
      <w:r w:rsidRPr="00610C36">
        <w:rPr>
          <w:rFonts w:ascii="Times New Roman" w:hAnsi="Times New Roman"/>
        </w:rPr>
        <w:t xml:space="preserve">oraz w stosunku </w:t>
      </w:r>
      <w:r w:rsidRPr="00610C36">
        <w:rPr>
          <w:rFonts w:ascii="Times New Roman" w:hAnsi="Times New Roman"/>
        </w:rPr>
        <w:br/>
      </w:r>
      <w:r w:rsidRPr="00610C36">
        <w:rPr>
          <w:rFonts w:ascii="Times New Roman" w:hAnsi="Times New Roman"/>
        </w:rPr>
        <w:lastRenderedPageBreak/>
        <w:t xml:space="preserve">do założeń przyjętych w </w:t>
      </w:r>
      <w:r w:rsidR="006819A6" w:rsidRPr="00610C36">
        <w:rPr>
          <w:rFonts w:ascii="Times New Roman" w:hAnsi="Times New Roman"/>
        </w:rPr>
        <w:t>planach ekonomiczno-finansowych</w:t>
      </w:r>
      <w:r w:rsidRPr="00610C36">
        <w:rPr>
          <w:rFonts w:ascii="Times New Roman" w:hAnsi="Times New Roman"/>
        </w:rPr>
        <w:t xml:space="preserve"> na dany okres.</w:t>
      </w:r>
      <w:r w:rsidR="006819A6" w:rsidRPr="00610C36">
        <w:rPr>
          <w:rFonts w:ascii="Times New Roman" w:hAnsi="Times New Roman"/>
        </w:rPr>
        <w:t xml:space="preserve"> Zmienne składniki są przyznawane w przypadku, gdy w każdym z ostatnich trzech lat i okres niepełnego roku za który jest przeprowadzana ocena plan w zakresie wskaźników wymienionych w ust. 2 jest zrealizowany </w:t>
      </w:r>
      <w:r w:rsidR="006819A6" w:rsidRPr="00677CC7">
        <w:rPr>
          <w:rFonts w:ascii="Times New Roman" w:hAnsi="Times New Roman"/>
        </w:rPr>
        <w:t>w</w:t>
      </w:r>
      <w:r w:rsidR="00F70EBA" w:rsidRPr="00677CC7">
        <w:rPr>
          <w:rFonts w:ascii="Times New Roman" w:hAnsi="Times New Roman"/>
        </w:rPr>
        <w:t xml:space="preserve"> min.70</w:t>
      </w:r>
      <w:r w:rsidR="006819A6" w:rsidRPr="00677CC7">
        <w:rPr>
          <w:rFonts w:ascii="Times New Roman" w:hAnsi="Times New Roman"/>
        </w:rPr>
        <w:t>%.</w:t>
      </w:r>
      <w:r w:rsidR="006819A6" w:rsidRPr="00610C36">
        <w:rPr>
          <w:rFonts w:ascii="Times New Roman" w:hAnsi="Times New Roman"/>
          <w:color w:val="00B0F0"/>
        </w:rPr>
        <w:t xml:space="preserve"> </w:t>
      </w:r>
    </w:p>
    <w:p w14:paraId="7A9521DC" w14:textId="00A763B8" w:rsidR="00EA22B2" w:rsidRPr="008F17B7" w:rsidRDefault="00EA22B2" w:rsidP="00EA22B2">
      <w:pPr>
        <w:numPr>
          <w:ilvl w:val="0"/>
          <w:numId w:val="9"/>
        </w:numPr>
        <w:tabs>
          <w:tab w:val="clear" w:pos="1146"/>
          <w:tab w:val="num" w:pos="-426"/>
        </w:tabs>
        <w:spacing w:before="120" w:after="120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8F17B7">
        <w:rPr>
          <w:rFonts w:ascii="Times New Roman" w:hAnsi="Times New Roman"/>
          <w:color w:val="000000" w:themeColor="text1"/>
        </w:rPr>
        <w:t>Zmienne składniki wynagradzania za IV kwartał danego roku mogą być przyznane i wypłacone w ostatnim miesiącu roku kalendarzowego, a wówczas do oceny według kryteriów finansowych przyjmuje się prognozę wykonania wartości wskaźników finansowych, o których mowa w ust. 2</w:t>
      </w:r>
      <w:r w:rsidR="00D05226">
        <w:rPr>
          <w:rFonts w:ascii="Times New Roman" w:hAnsi="Times New Roman"/>
          <w:color w:val="000000" w:themeColor="text1"/>
        </w:rPr>
        <w:t>.</w:t>
      </w:r>
    </w:p>
    <w:p w14:paraId="455DD86F" w14:textId="77777777" w:rsidR="00A20173" w:rsidRPr="00A20173" w:rsidRDefault="006819A6" w:rsidP="00305608">
      <w:pPr>
        <w:numPr>
          <w:ilvl w:val="0"/>
          <w:numId w:val="9"/>
        </w:numPr>
        <w:tabs>
          <w:tab w:val="clear" w:pos="1146"/>
          <w:tab w:val="num" w:pos="-426"/>
        </w:tabs>
        <w:spacing w:before="120" w:after="120"/>
        <w:ind w:left="426" w:hanging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Kryteria jakościowe oceny </w:t>
      </w:r>
      <w:r w:rsidR="00910CC7">
        <w:rPr>
          <w:rFonts w:ascii="Times New Roman" w:hAnsi="Times New Roman"/>
        </w:rPr>
        <w:t>Członków Zarządu</w:t>
      </w:r>
      <w:r w:rsidRPr="00610C36">
        <w:rPr>
          <w:rFonts w:ascii="Times New Roman" w:hAnsi="Times New Roman"/>
        </w:rPr>
        <w:t xml:space="preserve"> przy przyznawaniu zmiennych składników wynagradzania to:</w:t>
      </w:r>
    </w:p>
    <w:p w14:paraId="3C4506F9" w14:textId="77777777" w:rsidR="00A20173" w:rsidRDefault="00A20173" w:rsidP="007F26FD">
      <w:pPr>
        <w:numPr>
          <w:ilvl w:val="0"/>
          <w:numId w:val="18"/>
        </w:numPr>
        <w:spacing w:after="0"/>
        <w:ind w:left="709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Uzyskane </w:t>
      </w:r>
      <w:r w:rsidRPr="00610C36">
        <w:rPr>
          <w:rFonts w:ascii="Times New Roman" w:hAnsi="Times New Roman"/>
        </w:rPr>
        <w:t>absolutorium w okresie oceny</w:t>
      </w:r>
    </w:p>
    <w:p w14:paraId="3F294078" w14:textId="77777777" w:rsidR="00F41EA7" w:rsidRPr="00610C36" w:rsidRDefault="00F41EA7" w:rsidP="000A4F9C">
      <w:pPr>
        <w:numPr>
          <w:ilvl w:val="0"/>
          <w:numId w:val="18"/>
        </w:numPr>
        <w:spacing w:after="0"/>
        <w:ind w:left="709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Pozytywna ocena rękojmi należytego wykonania obowiązków, zgodnie z art. 22aa ustawy Prawo bankowe,</w:t>
      </w:r>
    </w:p>
    <w:p w14:paraId="2C9B1669" w14:textId="77777777" w:rsidR="006819A6" w:rsidRPr="00610C36" w:rsidRDefault="003D60AB" w:rsidP="007F26FD">
      <w:pPr>
        <w:numPr>
          <w:ilvl w:val="0"/>
          <w:numId w:val="18"/>
        </w:numPr>
        <w:spacing w:after="0"/>
        <w:ind w:left="709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Ogólna dobra ocena przez Radę Nadzorczą realizacji zadań zawartych w planie ekonomiczno-finansowym w okresach objętych oceną. </w:t>
      </w:r>
      <w:r w:rsidR="006819A6" w:rsidRPr="00610C36">
        <w:rPr>
          <w:rFonts w:ascii="Times New Roman" w:hAnsi="Times New Roman"/>
        </w:rPr>
        <w:t xml:space="preserve"> </w:t>
      </w:r>
    </w:p>
    <w:p w14:paraId="54B77350" w14:textId="77777777" w:rsidR="003D60AB" w:rsidRDefault="003D60AB" w:rsidP="00305608">
      <w:pPr>
        <w:numPr>
          <w:ilvl w:val="0"/>
          <w:numId w:val="9"/>
        </w:numPr>
        <w:tabs>
          <w:tab w:val="clear" w:pos="1146"/>
        </w:tabs>
        <w:spacing w:before="120" w:after="120"/>
        <w:ind w:left="426" w:hanging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W przypadku zagrożenia nie spełnienia wymogów ostrożnościowych lub zagrożenia upadłością zmiennych składników wynagradzania nie przyznaje się.</w:t>
      </w:r>
    </w:p>
    <w:p w14:paraId="2EBF8F95" w14:textId="62CB542A" w:rsidR="00A426A2" w:rsidRPr="00A426A2" w:rsidRDefault="00A426A2" w:rsidP="00A426A2">
      <w:pPr>
        <w:pStyle w:val="Akapitzlist"/>
        <w:ind w:left="142"/>
        <w:jc w:val="center"/>
        <w:rPr>
          <w:rFonts w:ascii="Times New Roman" w:hAnsi="Times New Roman"/>
          <w:b/>
          <w:bCs/>
        </w:rPr>
      </w:pPr>
      <w:r w:rsidRPr="00A426A2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10</w:t>
      </w:r>
    </w:p>
    <w:p w14:paraId="7207BA97" w14:textId="66671BE0" w:rsidR="00A12509" w:rsidRDefault="00A426A2" w:rsidP="00A12509">
      <w:pPr>
        <w:numPr>
          <w:ilvl w:val="0"/>
          <w:numId w:val="23"/>
        </w:numPr>
        <w:spacing w:after="0"/>
        <w:ind w:left="284" w:hanging="35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Ocenę efektów pracy zidentyfikowanych pracowników</w:t>
      </w:r>
      <w:r w:rsidR="00BB3AD8">
        <w:rPr>
          <w:rFonts w:ascii="Times New Roman" w:hAnsi="Times New Roman"/>
          <w:color w:val="000000" w:themeColor="text1"/>
        </w:rPr>
        <w:t xml:space="preserve"> na stanowiskach istotnych (</w:t>
      </w:r>
      <w:r>
        <w:rPr>
          <w:rFonts w:ascii="Times New Roman" w:hAnsi="Times New Roman"/>
          <w:color w:val="000000" w:themeColor="text1"/>
        </w:rPr>
        <w:t>nie będących Członkami Zarządu</w:t>
      </w:r>
      <w:r w:rsidR="00BB3AD8">
        <w:rPr>
          <w:rFonts w:ascii="Times New Roman" w:hAnsi="Times New Roman"/>
          <w:color w:val="000000" w:themeColor="text1"/>
        </w:rPr>
        <w:t>)</w:t>
      </w:r>
      <w:r>
        <w:rPr>
          <w:rFonts w:ascii="Times New Roman" w:hAnsi="Times New Roman"/>
          <w:color w:val="000000" w:themeColor="text1"/>
        </w:rPr>
        <w:t>, dokonuje Zarząd.</w:t>
      </w:r>
    </w:p>
    <w:p w14:paraId="54BEC789" w14:textId="77777777" w:rsidR="00EC3743" w:rsidRDefault="00A426A2" w:rsidP="00EC3743">
      <w:pPr>
        <w:numPr>
          <w:ilvl w:val="0"/>
          <w:numId w:val="23"/>
        </w:numPr>
        <w:spacing w:after="0"/>
        <w:ind w:left="284" w:hanging="357"/>
        <w:jc w:val="both"/>
        <w:rPr>
          <w:rFonts w:ascii="Times New Roman" w:hAnsi="Times New Roman"/>
          <w:color w:val="000000" w:themeColor="text1"/>
        </w:rPr>
      </w:pPr>
      <w:r w:rsidRPr="00A12509">
        <w:rPr>
          <w:rFonts w:ascii="Times New Roman" w:hAnsi="Times New Roman"/>
          <w:color w:val="000000" w:themeColor="text1"/>
        </w:rPr>
        <w:t>Zmienne składniki wynagradzania przyznaje się zidentyfikowanym pracownikom, o których mowa w ust. 1, za pozytywne (nienaganne) realizowanie zadań określonych w zakresie czynności</w:t>
      </w:r>
      <w:r w:rsidR="005B1B67">
        <w:rPr>
          <w:rFonts w:ascii="Times New Roman" w:hAnsi="Times New Roman"/>
          <w:color w:val="000000" w:themeColor="text1"/>
        </w:rPr>
        <w:t>.</w:t>
      </w:r>
    </w:p>
    <w:p w14:paraId="26F2C873" w14:textId="34300549" w:rsidR="005B1B67" w:rsidRPr="00EC3743" w:rsidRDefault="00EC3743" w:rsidP="00EC3743">
      <w:pPr>
        <w:numPr>
          <w:ilvl w:val="0"/>
          <w:numId w:val="23"/>
        </w:numPr>
        <w:spacing w:after="0"/>
        <w:ind w:left="284" w:hanging="357"/>
        <w:jc w:val="both"/>
        <w:rPr>
          <w:rFonts w:ascii="Times New Roman" w:hAnsi="Times New Roman"/>
          <w:color w:val="000000" w:themeColor="text1"/>
        </w:rPr>
      </w:pPr>
      <w:r w:rsidRPr="00EC3743">
        <w:rPr>
          <w:rFonts w:ascii="Times New Roman" w:hAnsi="Times New Roman"/>
          <w:color w:val="000000" w:themeColor="text1"/>
        </w:rPr>
        <w:t xml:space="preserve">Zmienne składniki wynagrodzenia mogą być przyznawane za okresy </w:t>
      </w:r>
      <w:r w:rsidR="00C02EF4">
        <w:rPr>
          <w:rFonts w:ascii="Times New Roman" w:hAnsi="Times New Roman"/>
          <w:color w:val="000000" w:themeColor="text1"/>
        </w:rPr>
        <w:t>kwartalne</w:t>
      </w:r>
      <w:r w:rsidR="00375D8A">
        <w:rPr>
          <w:rFonts w:ascii="Times New Roman" w:hAnsi="Times New Roman"/>
          <w:color w:val="000000" w:themeColor="text1"/>
        </w:rPr>
        <w:t>.</w:t>
      </w:r>
    </w:p>
    <w:p w14:paraId="50917011" w14:textId="1BE7FB6E" w:rsidR="00A12509" w:rsidRDefault="00B06A04" w:rsidP="00A12509">
      <w:pPr>
        <w:numPr>
          <w:ilvl w:val="0"/>
          <w:numId w:val="23"/>
        </w:numPr>
        <w:spacing w:after="0"/>
        <w:ind w:left="284" w:hanging="35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Zarząd</w:t>
      </w:r>
      <w:r w:rsidR="00A426A2" w:rsidRPr="00A12509">
        <w:rPr>
          <w:rFonts w:ascii="Times New Roman" w:hAnsi="Times New Roman"/>
          <w:color w:val="000000" w:themeColor="text1"/>
        </w:rPr>
        <w:t xml:space="preserve"> ocenia wykonanie zadań </w:t>
      </w:r>
      <w:r w:rsidR="00A12509" w:rsidRPr="00A12509">
        <w:rPr>
          <w:rFonts w:ascii="Times New Roman" w:hAnsi="Times New Roman"/>
          <w:color w:val="000000" w:themeColor="text1"/>
        </w:rPr>
        <w:t>każdorazowo przed przyznaniem zmiennych składników wynagrodzeń</w:t>
      </w:r>
      <w:r w:rsidR="00A426A2" w:rsidRPr="00A12509">
        <w:rPr>
          <w:rFonts w:ascii="Times New Roman" w:hAnsi="Times New Roman"/>
          <w:color w:val="000000" w:themeColor="text1"/>
        </w:rPr>
        <w:t>, z zastrzeżeniem ust. 5.</w:t>
      </w:r>
    </w:p>
    <w:p w14:paraId="2BCBA901" w14:textId="1F95F3B3" w:rsidR="00A12509" w:rsidRDefault="00A426A2" w:rsidP="00A12509">
      <w:pPr>
        <w:numPr>
          <w:ilvl w:val="0"/>
          <w:numId w:val="23"/>
        </w:numPr>
        <w:spacing w:after="0"/>
        <w:ind w:left="284" w:hanging="357"/>
        <w:jc w:val="both"/>
        <w:rPr>
          <w:rFonts w:ascii="Times New Roman" w:hAnsi="Times New Roman"/>
          <w:color w:val="000000" w:themeColor="text1"/>
        </w:rPr>
      </w:pPr>
      <w:r w:rsidRPr="00A12509">
        <w:rPr>
          <w:rFonts w:ascii="Times New Roman" w:hAnsi="Times New Roman"/>
          <w:color w:val="000000" w:themeColor="text1"/>
        </w:rPr>
        <w:t xml:space="preserve">Po </w:t>
      </w:r>
      <w:r w:rsidR="009F7091" w:rsidRPr="00A12509">
        <w:rPr>
          <w:rFonts w:ascii="Times New Roman" w:hAnsi="Times New Roman"/>
          <w:color w:val="000000" w:themeColor="text1"/>
        </w:rPr>
        <w:t>okresie</w:t>
      </w:r>
      <w:r w:rsidRPr="00A12509">
        <w:rPr>
          <w:rFonts w:ascii="Times New Roman" w:hAnsi="Times New Roman"/>
          <w:color w:val="000000" w:themeColor="text1"/>
        </w:rPr>
        <w:t xml:space="preserve">, za który przyznawane są zmienne składniki wynagradzania następuje ocena, na podstawie której przyznawane są zmienne składniki wynagradzania, z zastrzeżeniem ust. </w:t>
      </w:r>
      <w:r w:rsidR="00EC3743">
        <w:rPr>
          <w:rFonts w:ascii="Times New Roman" w:hAnsi="Times New Roman"/>
          <w:color w:val="000000" w:themeColor="text1"/>
        </w:rPr>
        <w:t>6</w:t>
      </w:r>
      <w:r w:rsidR="00217FB9">
        <w:rPr>
          <w:rFonts w:ascii="Times New Roman" w:hAnsi="Times New Roman"/>
          <w:color w:val="000000" w:themeColor="text1"/>
        </w:rPr>
        <w:t>.</w:t>
      </w:r>
    </w:p>
    <w:p w14:paraId="6B9E975B" w14:textId="4C0741B4" w:rsidR="00A426A2" w:rsidRDefault="00A426A2" w:rsidP="00A12509">
      <w:pPr>
        <w:numPr>
          <w:ilvl w:val="0"/>
          <w:numId w:val="23"/>
        </w:numPr>
        <w:spacing w:after="0"/>
        <w:ind w:left="284" w:hanging="357"/>
        <w:jc w:val="both"/>
        <w:rPr>
          <w:rFonts w:ascii="Times New Roman" w:hAnsi="Times New Roman"/>
          <w:color w:val="000000" w:themeColor="text1"/>
        </w:rPr>
      </w:pPr>
      <w:r w:rsidRPr="00A12509">
        <w:rPr>
          <w:rFonts w:ascii="Times New Roman" w:hAnsi="Times New Roman"/>
          <w:color w:val="000000" w:themeColor="text1"/>
        </w:rPr>
        <w:t xml:space="preserve">Zmienne składniki wynagradzania </w:t>
      </w:r>
      <w:r w:rsidR="00FD4342">
        <w:rPr>
          <w:rFonts w:ascii="Times New Roman" w:hAnsi="Times New Roman"/>
          <w:color w:val="000000" w:themeColor="text1"/>
        </w:rPr>
        <w:t xml:space="preserve">za ostatni </w:t>
      </w:r>
      <w:r w:rsidR="00CC0C16">
        <w:rPr>
          <w:rFonts w:ascii="Times New Roman" w:hAnsi="Times New Roman"/>
          <w:color w:val="000000" w:themeColor="text1"/>
        </w:rPr>
        <w:t>kwartał</w:t>
      </w:r>
      <w:r w:rsidRPr="00A12509">
        <w:rPr>
          <w:rFonts w:ascii="Times New Roman" w:hAnsi="Times New Roman"/>
          <w:color w:val="000000" w:themeColor="text1"/>
        </w:rPr>
        <w:t xml:space="preserve"> danego roku mogą być przyznane i wypłacone zidentyfikowanym pracownikom </w:t>
      </w:r>
      <w:r w:rsidR="00EC3743">
        <w:rPr>
          <w:rFonts w:ascii="Times New Roman" w:hAnsi="Times New Roman"/>
          <w:color w:val="000000" w:themeColor="text1"/>
        </w:rPr>
        <w:t xml:space="preserve">na stanowiskach istotnych </w:t>
      </w:r>
      <w:r w:rsidRPr="00A12509">
        <w:rPr>
          <w:rFonts w:ascii="Times New Roman" w:hAnsi="Times New Roman"/>
          <w:color w:val="000000" w:themeColor="text1"/>
        </w:rPr>
        <w:t>w ostatnim miesiącu roku kalendarzowego, po dokonaniu oceny, o której mowa w ust. 2 niniejszego paragrafu, za okres do dnia w którym dokonywana jest ocena.</w:t>
      </w:r>
    </w:p>
    <w:p w14:paraId="6863BF68" w14:textId="77777777" w:rsidR="005B1B67" w:rsidRPr="00A12509" w:rsidRDefault="005B1B67" w:rsidP="005B1B67">
      <w:pPr>
        <w:spacing w:after="0"/>
        <w:ind w:left="284"/>
        <w:jc w:val="both"/>
        <w:rPr>
          <w:rFonts w:ascii="Times New Roman" w:hAnsi="Times New Roman"/>
          <w:color w:val="000000" w:themeColor="text1"/>
        </w:rPr>
      </w:pPr>
    </w:p>
    <w:p w14:paraId="1CCFB49B" w14:textId="52337BCE" w:rsidR="00F1181C" w:rsidRPr="005B0DA9" w:rsidRDefault="00F1181C" w:rsidP="006C0C93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 w:rsidR="00610C36" w:rsidRPr="005B0DA9">
        <w:rPr>
          <w:rFonts w:ascii="Times New Roman" w:hAnsi="Times New Roman"/>
          <w:b/>
          <w:bCs/>
        </w:rPr>
        <w:t xml:space="preserve"> </w:t>
      </w:r>
      <w:r w:rsidR="005B0DA9" w:rsidRPr="005B0DA9">
        <w:rPr>
          <w:rFonts w:ascii="Times New Roman" w:hAnsi="Times New Roman"/>
          <w:b/>
          <w:bCs/>
        </w:rPr>
        <w:t>10</w:t>
      </w:r>
    </w:p>
    <w:p w14:paraId="67507167" w14:textId="77777777" w:rsidR="0071394D" w:rsidRPr="00610C36" w:rsidRDefault="0071394D" w:rsidP="006C0C93">
      <w:pPr>
        <w:numPr>
          <w:ilvl w:val="1"/>
          <w:numId w:val="22"/>
        </w:numPr>
        <w:tabs>
          <w:tab w:val="clear" w:pos="2160"/>
        </w:tabs>
        <w:spacing w:after="0"/>
        <w:ind w:left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lastRenderedPageBreak/>
        <w:t xml:space="preserve">Bank ma możliwość wstrzymania, ograniczenia, odmowy wypłaty lub realizacji zmiennych składników wynagrodzenia w szczególności w sytuacji, w której dana osoba, o której mowa w §3 niniejszej Polityki: </w:t>
      </w:r>
    </w:p>
    <w:p w14:paraId="141B671E" w14:textId="77777777" w:rsidR="0071394D" w:rsidRDefault="0071394D" w:rsidP="00A20173">
      <w:pPr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uczestniczyła w działaniach, których wynikiem były znaczne straty B</w:t>
      </w:r>
      <w:r w:rsidR="00A20173">
        <w:rPr>
          <w:rFonts w:ascii="Times New Roman" w:hAnsi="Times New Roman"/>
        </w:rPr>
        <w:t xml:space="preserve">anku, lub była odpowiedzialna </w:t>
      </w:r>
      <w:r w:rsidRPr="00610C36">
        <w:rPr>
          <w:rFonts w:ascii="Times New Roman" w:hAnsi="Times New Roman"/>
        </w:rPr>
        <w:t xml:space="preserve">za takie działania, </w:t>
      </w:r>
    </w:p>
    <w:p w14:paraId="7A4FB68C" w14:textId="77777777" w:rsidR="0071394D" w:rsidRPr="00A20173" w:rsidRDefault="0071394D" w:rsidP="00A20173">
      <w:pPr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A20173">
        <w:rPr>
          <w:rFonts w:ascii="Times New Roman" w:hAnsi="Times New Roman"/>
        </w:rPr>
        <w:t>nie spełniła odpowiednich standardów dotyczących rękojmi bezpiecznego i ostrożnego zarządzania bankiem.</w:t>
      </w:r>
    </w:p>
    <w:p w14:paraId="5F1B1217" w14:textId="478D954A" w:rsidR="0071394D" w:rsidRPr="005B0DA9" w:rsidRDefault="0071394D" w:rsidP="00610C36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</w:t>
      </w:r>
      <w:r w:rsidR="00610C36" w:rsidRPr="005B0DA9">
        <w:rPr>
          <w:rFonts w:ascii="Times New Roman" w:hAnsi="Times New Roman"/>
          <w:b/>
          <w:bCs/>
        </w:rPr>
        <w:t xml:space="preserve"> </w:t>
      </w:r>
      <w:r w:rsidR="006C0C93" w:rsidRPr="005B0DA9">
        <w:rPr>
          <w:rFonts w:ascii="Times New Roman" w:hAnsi="Times New Roman"/>
          <w:b/>
          <w:bCs/>
        </w:rPr>
        <w:t>1</w:t>
      </w:r>
      <w:r w:rsidR="005B0DA9" w:rsidRPr="005B0DA9">
        <w:rPr>
          <w:rFonts w:ascii="Times New Roman" w:hAnsi="Times New Roman"/>
          <w:b/>
          <w:bCs/>
        </w:rPr>
        <w:t>1</w:t>
      </w:r>
    </w:p>
    <w:p w14:paraId="2C91F8AA" w14:textId="77777777" w:rsidR="00D75C39" w:rsidRDefault="006C0C93" w:rsidP="00D75C39">
      <w:pPr>
        <w:pStyle w:val="Akapitzlist"/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</w:rPr>
      </w:pPr>
      <w:bookmarkStart w:id="2" w:name="_Hlk88484247"/>
      <w:r w:rsidRPr="006C0C93">
        <w:rPr>
          <w:rFonts w:ascii="Times New Roman" w:hAnsi="Times New Roman"/>
        </w:rPr>
        <w:t>Co najmniej raz w roku Rada Nadzorcza Banku weryfikuje i ustala maksymalny stosunek średniego całkowitego wynagrodzenia brutto członków zarządu w okresie rocznym do średniego całkowitego wynagrodzenia brutto pozostałych pracowników banku w okresie rocznym.</w:t>
      </w:r>
    </w:p>
    <w:p w14:paraId="76FD5258" w14:textId="77777777" w:rsidR="00D75C39" w:rsidRPr="00D75C39" w:rsidRDefault="00D75C39" w:rsidP="00D75C39">
      <w:pPr>
        <w:pStyle w:val="Akapitzlist"/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</w:rPr>
      </w:pPr>
      <w:r w:rsidRPr="00D75C39">
        <w:rPr>
          <w:rFonts w:ascii="Times New Roman" w:hAnsi="Times New Roman"/>
        </w:rPr>
        <w:t xml:space="preserve">Stosunek wynagrodzenia o którym mowa w ust.1  powinien być ustalony na poziomie umożliwiającym skuteczne wykonywanie zadań przez pracowników banku, z uwzględnieniem potrzeby ostrożnego i stabilnego zarządzania bankiem. </w:t>
      </w:r>
    </w:p>
    <w:p w14:paraId="6F4CE9D6" w14:textId="77777777" w:rsidR="00D75C39" w:rsidRPr="00D75C39" w:rsidRDefault="00D75C39" w:rsidP="00D75C39">
      <w:pPr>
        <w:pStyle w:val="Akapitzlist"/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Uwzględniając powyższe u</w:t>
      </w:r>
      <w:r w:rsidR="006C0C93" w:rsidRPr="00C8283C">
        <w:rPr>
          <w:rFonts w:ascii="Times New Roman" w:hAnsi="Times New Roman"/>
        </w:rPr>
        <w:t xml:space="preserve">stala się </w:t>
      </w:r>
      <w:r w:rsidR="006D7798" w:rsidRPr="00C8283C">
        <w:rPr>
          <w:rFonts w:ascii="Times New Roman" w:hAnsi="Times New Roman"/>
        </w:rPr>
        <w:t>że</w:t>
      </w:r>
      <w:r w:rsidR="006C0C93" w:rsidRPr="00C8283C">
        <w:rPr>
          <w:rFonts w:ascii="Times New Roman" w:hAnsi="Times New Roman"/>
        </w:rPr>
        <w:t xml:space="preserve"> </w:t>
      </w:r>
      <w:r w:rsidR="006D7798" w:rsidRPr="00C8283C">
        <w:rPr>
          <w:rFonts w:ascii="Times New Roman" w:hAnsi="Times New Roman"/>
          <w:spacing w:val="-2"/>
        </w:rPr>
        <w:t xml:space="preserve">średnie całkowite wynagrodzenia brutto członków Zarządu w okresie rocznym nie może przekroczyć </w:t>
      </w:r>
      <w:r w:rsidR="00C8283C" w:rsidRPr="00C8283C">
        <w:rPr>
          <w:rFonts w:ascii="Times New Roman" w:hAnsi="Times New Roman"/>
          <w:spacing w:val="-2"/>
        </w:rPr>
        <w:t>pięciokrotności</w:t>
      </w:r>
      <w:r w:rsidR="006D7798" w:rsidRPr="00C8283C">
        <w:rPr>
          <w:rFonts w:ascii="Times New Roman" w:hAnsi="Times New Roman"/>
          <w:spacing w:val="-2"/>
        </w:rPr>
        <w:t xml:space="preserve"> średniego całkowitego wynagrodzenia brutto pozostałych pracowników Banku w okresie rocznym</w:t>
      </w:r>
      <w:r w:rsidR="00C856BD" w:rsidRPr="00C8283C">
        <w:rPr>
          <w:rFonts w:ascii="Times New Roman" w:hAnsi="Times New Roman"/>
          <w:spacing w:val="-2"/>
        </w:rPr>
        <w:t>.</w:t>
      </w:r>
    </w:p>
    <w:p w14:paraId="74B397EC" w14:textId="77777777" w:rsidR="006C0C93" w:rsidRPr="006C0C93" w:rsidRDefault="006C0C93" w:rsidP="006C0C93">
      <w:pPr>
        <w:pStyle w:val="Akapitzlist"/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</w:rPr>
      </w:pPr>
      <w:r w:rsidRPr="006C0C93">
        <w:rPr>
          <w:rFonts w:ascii="Times New Roman" w:hAnsi="Times New Roman"/>
        </w:rPr>
        <w:t xml:space="preserve">Wysokość wskaźnika o którym mowa w ust.1 podlega publikacji, zgodnie z Polityką informacyjną Banku.   </w:t>
      </w:r>
    </w:p>
    <w:bookmarkEnd w:id="2"/>
    <w:p w14:paraId="28D82934" w14:textId="5F49E787" w:rsidR="006C0C93" w:rsidRPr="005B0DA9" w:rsidRDefault="006C0C93" w:rsidP="006C0C93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t>§ 1</w:t>
      </w:r>
      <w:r w:rsidR="005B0DA9" w:rsidRPr="005B0DA9">
        <w:rPr>
          <w:rFonts w:ascii="Times New Roman" w:hAnsi="Times New Roman"/>
          <w:b/>
          <w:bCs/>
        </w:rPr>
        <w:t>2</w:t>
      </w:r>
    </w:p>
    <w:p w14:paraId="506BFE31" w14:textId="1AD75CA9" w:rsidR="00E45E96" w:rsidRDefault="00B44CB4" w:rsidP="00E45E9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B44CB4">
        <w:rPr>
          <w:rFonts w:ascii="Times New Roman" w:hAnsi="Times New Roman"/>
        </w:rPr>
        <w:t xml:space="preserve">Wdrożenie polityki wynagrodzeń podlega </w:t>
      </w:r>
      <w:r w:rsidR="00E45E96">
        <w:rPr>
          <w:rFonts w:ascii="Times New Roman" w:hAnsi="Times New Roman"/>
        </w:rPr>
        <w:t xml:space="preserve">weryfikacji tj. </w:t>
      </w:r>
      <w:r w:rsidRPr="00B44CB4">
        <w:rPr>
          <w:rFonts w:ascii="Times New Roman" w:hAnsi="Times New Roman"/>
        </w:rPr>
        <w:t xml:space="preserve">niezależnemu wewnętrznemu przeglądowi dokonywanemu nie rzadziej niż raz w roku przez Stanowisko ds. zgodności </w:t>
      </w:r>
    </w:p>
    <w:p w14:paraId="6191A250" w14:textId="7CB5C0B3" w:rsidR="00B44CB4" w:rsidRPr="00E45E96" w:rsidRDefault="00E45E96" w:rsidP="00E45E96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</w:rPr>
      </w:pPr>
      <w:r w:rsidRPr="00E45E96">
        <w:rPr>
          <w:rFonts w:ascii="Times New Roman" w:hAnsi="Times New Roman"/>
        </w:rPr>
        <w:t>Raport z przeglądu przedstawiany jest Radzie Nadzorczej.</w:t>
      </w:r>
    </w:p>
    <w:p w14:paraId="3EF27425" w14:textId="77777777" w:rsidR="00DD6E28" w:rsidRPr="00610C36" w:rsidRDefault="00DD6E28" w:rsidP="00BB3AD8">
      <w:pPr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Weryfikacja o której mowa w ust. 1 obejmuje min.:</w:t>
      </w:r>
    </w:p>
    <w:p w14:paraId="765E7798" w14:textId="77777777" w:rsidR="00DD6E28" w:rsidRPr="00610C36" w:rsidRDefault="00DD6E28" w:rsidP="00BB3AD8">
      <w:pPr>
        <w:numPr>
          <w:ilvl w:val="1"/>
          <w:numId w:val="5"/>
        </w:numPr>
        <w:spacing w:after="0"/>
        <w:ind w:left="709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Zgodność z przepisami zewnętrznymi i wewnętrznymi Banku,</w:t>
      </w:r>
    </w:p>
    <w:p w14:paraId="211EFF5A" w14:textId="77777777" w:rsidR="00DD6E28" w:rsidRPr="00610C36" w:rsidRDefault="00DD6E28" w:rsidP="00BB3AD8">
      <w:pPr>
        <w:numPr>
          <w:ilvl w:val="1"/>
          <w:numId w:val="5"/>
        </w:numPr>
        <w:spacing w:after="0"/>
        <w:ind w:left="709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Weryfikację stanowisk </w:t>
      </w:r>
      <w:r w:rsidR="0071394D" w:rsidRPr="00610C36">
        <w:rPr>
          <w:rFonts w:ascii="Times New Roman" w:hAnsi="Times New Roman"/>
        </w:rPr>
        <w:t>istotnych</w:t>
      </w:r>
      <w:r w:rsidRPr="00610C36">
        <w:rPr>
          <w:rFonts w:ascii="Times New Roman" w:hAnsi="Times New Roman"/>
        </w:rPr>
        <w:t xml:space="preserve">, </w:t>
      </w:r>
    </w:p>
    <w:p w14:paraId="56B3A61C" w14:textId="77777777" w:rsidR="00B44CB4" w:rsidRDefault="00DD6E28" w:rsidP="00BB3AD8">
      <w:pPr>
        <w:numPr>
          <w:ilvl w:val="1"/>
          <w:numId w:val="5"/>
        </w:numPr>
        <w:spacing w:after="0"/>
        <w:ind w:left="709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 xml:space="preserve">Przyjęte zasady przyznawania i wypłaty </w:t>
      </w:r>
      <w:r w:rsidR="0071394D" w:rsidRPr="00610C36">
        <w:rPr>
          <w:rFonts w:ascii="Times New Roman" w:hAnsi="Times New Roman"/>
        </w:rPr>
        <w:t xml:space="preserve">stałych i </w:t>
      </w:r>
      <w:r w:rsidRPr="00610C36">
        <w:rPr>
          <w:rFonts w:ascii="Times New Roman" w:hAnsi="Times New Roman"/>
        </w:rPr>
        <w:t>zmiennych składników wynagradzania,</w:t>
      </w:r>
    </w:p>
    <w:p w14:paraId="557A24AF" w14:textId="3074371A" w:rsidR="003819E1" w:rsidRPr="008F17B7" w:rsidRDefault="008F17B7" w:rsidP="00BB3AD8">
      <w:pPr>
        <w:numPr>
          <w:ilvl w:val="1"/>
          <w:numId w:val="5"/>
        </w:numPr>
        <w:spacing w:after="0"/>
        <w:ind w:left="709" w:hanging="35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</w:t>
      </w:r>
      <w:r w:rsidR="003819E1" w:rsidRPr="008F17B7">
        <w:rPr>
          <w:rFonts w:ascii="Times New Roman" w:hAnsi="Times New Roman"/>
          <w:color w:val="000000" w:themeColor="text1"/>
        </w:rPr>
        <w:t>stalenia na kolejny rok kalendarzowy maksymalnego stosunku średniego całkowitego wynagrodzenia brutto Członków Zarządu w okresie rocznym do średniego całkowitego wynagrodzenia brutto pozostałych pracowników Banku w okresie rocznym</w:t>
      </w:r>
    </w:p>
    <w:p w14:paraId="250E5724" w14:textId="7572AFCB" w:rsidR="003819E1" w:rsidRPr="008F17B7" w:rsidRDefault="008F17B7" w:rsidP="00BB3AD8">
      <w:pPr>
        <w:numPr>
          <w:ilvl w:val="1"/>
          <w:numId w:val="5"/>
        </w:numPr>
        <w:spacing w:after="0"/>
        <w:ind w:left="709" w:hanging="35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</w:t>
      </w:r>
      <w:r w:rsidR="003819E1" w:rsidRPr="008F17B7">
        <w:rPr>
          <w:rFonts w:ascii="Times New Roman" w:hAnsi="Times New Roman"/>
          <w:color w:val="000000" w:themeColor="text1"/>
        </w:rPr>
        <w:t>aleceń Komisji Nadzoru Finansowego / Audytu wewnętrznego</w:t>
      </w:r>
    </w:p>
    <w:p w14:paraId="7D49F9E4" w14:textId="4BCEE64C" w:rsidR="0071394D" w:rsidRPr="00610C36" w:rsidRDefault="0071394D" w:rsidP="00BB3AD8">
      <w:pPr>
        <w:numPr>
          <w:ilvl w:val="0"/>
          <w:numId w:val="5"/>
        </w:numPr>
        <w:ind w:left="426" w:hanging="357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Niniejsza Polityka oraz jej realizacja podlega ocenie przez Radę Nadzorczą na podstawie przeprowadzonej weryfikacji. Ocena jest przekazywana Zebraniu Przedstawicieli</w:t>
      </w:r>
      <w:r w:rsidR="001B098C">
        <w:rPr>
          <w:rFonts w:ascii="Times New Roman" w:hAnsi="Times New Roman"/>
        </w:rPr>
        <w:t>.</w:t>
      </w:r>
    </w:p>
    <w:p w14:paraId="1A04A32E" w14:textId="77777777" w:rsidR="00D25F38" w:rsidRPr="00610C36" w:rsidRDefault="00D25F38" w:rsidP="00BB3AD8">
      <w:pPr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Niniejsza Polit</w:t>
      </w:r>
      <w:r w:rsidR="00667F50" w:rsidRPr="00610C36">
        <w:rPr>
          <w:rFonts w:ascii="Times New Roman" w:hAnsi="Times New Roman"/>
        </w:rPr>
        <w:t>yka podle</w:t>
      </w:r>
      <w:r w:rsidR="00610C36" w:rsidRPr="00610C36">
        <w:rPr>
          <w:rFonts w:ascii="Times New Roman" w:hAnsi="Times New Roman"/>
        </w:rPr>
        <w:t>ga ujawnieniu.</w:t>
      </w:r>
    </w:p>
    <w:p w14:paraId="3EF4DF39" w14:textId="18A833AE" w:rsidR="00F1181C" w:rsidRPr="005B0DA9" w:rsidRDefault="00F1181C" w:rsidP="00610C36">
      <w:pPr>
        <w:ind w:left="0"/>
        <w:jc w:val="center"/>
        <w:rPr>
          <w:rFonts w:ascii="Times New Roman" w:hAnsi="Times New Roman"/>
          <w:b/>
          <w:bCs/>
        </w:rPr>
      </w:pPr>
      <w:r w:rsidRPr="005B0DA9">
        <w:rPr>
          <w:rFonts w:ascii="Times New Roman" w:hAnsi="Times New Roman"/>
          <w:b/>
          <w:bCs/>
        </w:rPr>
        <w:lastRenderedPageBreak/>
        <w:t>§</w:t>
      </w:r>
      <w:r w:rsidR="00DF586A" w:rsidRPr="005B0DA9">
        <w:rPr>
          <w:rFonts w:ascii="Times New Roman" w:hAnsi="Times New Roman"/>
          <w:b/>
          <w:bCs/>
        </w:rPr>
        <w:t xml:space="preserve"> </w:t>
      </w:r>
      <w:r w:rsidR="000D4F2A" w:rsidRPr="005B0DA9">
        <w:rPr>
          <w:rFonts w:ascii="Times New Roman" w:hAnsi="Times New Roman"/>
          <w:b/>
          <w:bCs/>
        </w:rPr>
        <w:t>1</w:t>
      </w:r>
      <w:r w:rsidR="005B0DA9" w:rsidRPr="005B0DA9">
        <w:rPr>
          <w:rFonts w:ascii="Times New Roman" w:hAnsi="Times New Roman"/>
          <w:b/>
          <w:bCs/>
        </w:rPr>
        <w:t>3</w:t>
      </w:r>
    </w:p>
    <w:p w14:paraId="53245A6F" w14:textId="2408B834" w:rsidR="00D25F38" w:rsidRPr="00610C36" w:rsidRDefault="00D25F38" w:rsidP="00610C36">
      <w:pPr>
        <w:ind w:left="0"/>
        <w:jc w:val="both"/>
        <w:rPr>
          <w:rFonts w:ascii="Times New Roman" w:hAnsi="Times New Roman"/>
        </w:rPr>
      </w:pPr>
      <w:r w:rsidRPr="00610C36">
        <w:rPr>
          <w:rFonts w:ascii="Times New Roman" w:hAnsi="Times New Roman"/>
        </w:rPr>
        <w:t>Niniejsza Polityka wchodzi</w:t>
      </w:r>
      <w:r w:rsidR="00D86939" w:rsidRPr="00610C36">
        <w:rPr>
          <w:rFonts w:ascii="Times New Roman" w:hAnsi="Times New Roman"/>
        </w:rPr>
        <w:t xml:space="preserve"> w życie z dniem </w:t>
      </w:r>
      <w:r w:rsidR="00DE0ABE" w:rsidRPr="00DE0ABE">
        <w:rPr>
          <w:rFonts w:ascii="Times New Roman" w:hAnsi="Times New Roman"/>
        </w:rPr>
        <w:t>zatwierdzenia przez Radę Nadzorczą Banku.</w:t>
      </w:r>
    </w:p>
    <w:p w14:paraId="59423A4B" w14:textId="77777777" w:rsidR="008F17B7" w:rsidRDefault="008F17B7" w:rsidP="001C4F31">
      <w:pPr>
        <w:spacing w:after="0"/>
        <w:ind w:left="0"/>
        <w:rPr>
          <w:i/>
          <w:sz w:val="20"/>
          <w:szCs w:val="20"/>
          <w:u w:val="single"/>
        </w:rPr>
      </w:pPr>
    </w:p>
    <w:p w14:paraId="49AC78E4" w14:textId="77777777" w:rsidR="008F17B7" w:rsidRDefault="008F17B7" w:rsidP="001C4F31">
      <w:pPr>
        <w:spacing w:after="0"/>
        <w:ind w:left="0"/>
        <w:rPr>
          <w:i/>
          <w:sz w:val="20"/>
          <w:szCs w:val="20"/>
          <w:u w:val="single"/>
        </w:rPr>
      </w:pPr>
    </w:p>
    <w:p w14:paraId="2C816A86" w14:textId="77777777" w:rsidR="008F17B7" w:rsidRDefault="008F17B7" w:rsidP="001C4F31">
      <w:pPr>
        <w:spacing w:after="0"/>
        <w:ind w:left="0"/>
        <w:rPr>
          <w:i/>
          <w:sz w:val="20"/>
          <w:szCs w:val="20"/>
          <w:u w:val="single"/>
        </w:rPr>
      </w:pPr>
    </w:p>
    <w:p w14:paraId="6C327105" w14:textId="77777777" w:rsidR="008F17B7" w:rsidRDefault="008F17B7" w:rsidP="001C4F31">
      <w:pPr>
        <w:spacing w:after="0"/>
        <w:ind w:left="0"/>
        <w:rPr>
          <w:i/>
          <w:sz w:val="20"/>
          <w:szCs w:val="20"/>
          <w:u w:val="single"/>
        </w:rPr>
      </w:pPr>
    </w:p>
    <w:p w14:paraId="34AE2E2A" w14:textId="7BE06FEA" w:rsidR="0072321D" w:rsidRPr="00032753" w:rsidRDefault="0072321D" w:rsidP="001C4F31">
      <w:pPr>
        <w:spacing w:after="0"/>
        <w:ind w:left="0"/>
        <w:rPr>
          <w:i/>
          <w:sz w:val="20"/>
          <w:szCs w:val="20"/>
          <w:u w:val="single"/>
        </w:rPr>
      </w:pPr>
      <w:r w:rsidRPr="00032753">
        <w:rPr>
          <w:i/>
          <w:sz w:val="20"/>
          <w:szCs w:val="20"/>
          <w:u w:val="single"/>
        </w:rPr>
        <w:t>Zatwierdził:</w:t>
      </w:r>
    </w:p>
    <w:p w14:paraId="192DD2EF" w14:textId="77777777" w:rsidR="0072321D" w:rsidRDefault="0072321D" w:rsidP="001C4F31">
      <w:pPr>
        <w:spacing w:after="0" w:line="276" w:lineRule="auto"/>
        <w:ind w:left="0"/>
        <w:rPr>
          <w:b/>
          <w:sz w:val="20"/>
          <w:szCs w:val="20"/>
        </w:rPr>
      </w:pPr>
      <w:r w:rsidRPr="00032753">
        <w:rPr>
          <w:b/>
          <w:sz w:val="20"/>
          <w:szCs w:val="20"/>
        </w:rPr>
        <w:t>Zarząd:</w:t>
      </w:r>
      <w:r w:rsidRPr="00032753">
        <w:rPr>
          <w:b/>
          <w:sz w:val="20"/>
          <w:szCs w:val="20"/>
        </w:rPr>
        <w:tab/>
      </w:r>
      <w:r w:rsidRPr="00032753">
        <w:rPr>
          <w:b/>
          <w:sz w:val="20"/>
          <w:szCs w:val="20"/>
        </w:rPr>
        <w:tab/>
      </w:r>
      <w:r w:rsidRPr="00032753">
        <w:rPr>
          <w:b/>
          <w:sz w:val="20"/>
          <w:szCs w:val="20"/>
        </w:rPr>
        <w:tab/>
      </w:r>
      <w:r w:rsidRPr="00032753">
        <w:rPr>
          <w:b/>
          <w:sz w:val="20"/>
          <w:szCs w:val="20"/>
        </w:rPr>
        <w:tab/>
      </w:r>
      <w:r w:rsidRPr="00032753">
        <w:rPr>
          <w:b/>
          <w:sz w:val="20"/>
          <w:szCs w:val="20"/>
        </w:rPr>
        <w:tab/>
      </w:r>
      <w:r w:rsidRPr="00032753">
        <w:rPr>
          <w:b/>
          <w:sz w:val="20"/>
          <w:szCs w:val="20"/>
        </w:rPr>
        <w:tab/>
      </w:r>
      <w:r w:rsidRPr="00032753">
        <w:rPr>
          <w:b/>
          <w:sz w:val="20"/>
          <w:szCs w:val="20"/>
        </w:rPr>
        <w:tab/>
      </w:r>
      <w:r w:rsidRPr="00032753">
        <w:rPr>
          <w:b/>
          <w:sz w:val="20"/>
          <w:szCs w:val="20"/>
        </w:rPr>
        <w:tab/>
        <w:t>Rada Nadzorcza</w:t>
      </w:r>
      <w:r w:rsidR="00032753" w:rsidRPr="00032753">
        <w:rPr>
          <w:b/>
          <w:sz w:val="20"/>
          <w:szCs w:val="20"/>
        </w:rPr>
        <w:t>:</w:t>
      </w:r>
    </w:p>
    <w:p w14:paraId="0E01CDDB" w14:textId="77777777" w:rsidR="00032753" w:rsidRPr="00032753" w:rsidRDefault="00032753" w:rsidP="001C4F31">
      <w:pPr>
        <w:spacing w:after="0" w:line="276" w:lineRule="auto"/>
        <w:ind w:left="0"/>
        <w:rPr>
          <w:b/>
          <w:sz w:val="20"/>
          <w:szCs w:val="20"/>
        </w:rPr>
      </w:pPr>
    </w:p>
    <w:p w14:paraId="7642F26B" w14:textId="77777777" w:rsidR="00032753" w:rsidRPr="00032753" w:rsidRDefault="00032753" w:rsidP="001C4F31">
      <w:pPr>
        <w:spacing w:after="0" w:line="276" w:lineRule="auto"/>
        <w:ind w:left="0"/>
        <w:rPr>
          <w:b/>
          <w:sz w:val="20"/>
          <w:szCs w:val="20"/>
        </w:rPr>
      </w:pPr>
    </w:p>
    <w:p w14:paraId="015AE4FE" w14:textId="77777777" w:rsidR="0072321D" w:rsidRPr="00032753" w:rsidRDefault="0072321D" w:rsidP="00032753">
      <w:pPr>
        <w:spacing w:after="0" w:line="276" w:lineRule="auto"/>
        <w:ind w:left="0"/>
        <w:rPr>
          <w:sz w:val="20"/>
          <w:szCs w:val="20"/>
        </w:rPr>
      </w:pPr>
      <w:r w:rsidRPr="00032753">
        <w:rPr>
          <w:sz w:val="20"/>
          <w:szCs w:val="20"/>
        </w:rPr>
        <w:t>………………………………..</w:t>
      </w:r>
      <w:r w:rsidRPr="00032753">
        <w:rPr>
          <w:sz w:val="20"/>
          <w:szCs w:val="20"/>
        </w:rPr>
        <w:tab/>
      </w:r>
      <w:r w:rsidRPr="00032753">
        <w:rPr>
          <w:sz w:val="20"/>
          <w:szCs w:val="20"/>
        </w:rPr>
        <w:tab/>
      </w:r>
      <w:r w:rsidRPr="00032753">
        <w:rPr>
          <w:sz w:val="20"/>
          <w:szCs w:val="20"/>
        </w:rPr>
        <w:tab/>
      </w:r>
      <w:r w:rsidRPr="00032753">
        <w:rPr>
          <w:sz w:val="20"/>
          <w:szCs w:val="20"/>
        </w:rPr>
        <w:tab/>
        <w:t xml:space="preserve">                </w:t>
      </w:r>
      <w:r w:rsidRPr="00032753">
        <w:rPr>
          <w:sz w:val="20"/>
          <w:szCs w:val="20"/>
        </w:rPr>
        <w:tab/>
        <w:t>…………………….…………</w:t>
      </w:r>
    </w:p>
    <w:p w14:paraId="170F89F7" w14:textId="729ED0DB" w:rsidR="00676C4F" w:rsidRPr="00032753" w:rsidRDefault="0072321D" w:rsidP="00032753">
      <w:pPr>
        <w:spacing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032753">
        <w:rPr>
          <w:sz w:val="20"/>
          <w:szCs w:val="20"/>
        </w:rPr>
        <w:t xml:space="preserve">Grodków, dnia </w:t>
      </w:r>
      <w:r w:rsidR="000E74CB">
        <w:rPr>
          <w:sz w:val="20"/>
          <w:szCs w:val="20"/>
        </w:rPr>
        <w:t>22.05.2026</w:t>
      </w:r>
      <w:r w:rsidR="0071394D" w:rsidRPr="00032753">
        <w:rPr>
          <w:sz w:val="20"/>
          <w:szCs w:val="20"/>
        </w:rPr>
        <w:tab/>
      </w:r>
      <w:r w:rsidR="0071394D" w:rsidRPr="00032753">
        <w:rPr>
          <w:sz w:val="20"/>
          <w:szCs w:val="20"/>
        </w:rPr>
        <w:tab/>
      </w:r>
      <w:r w:rsidR="0071394D" w:rsidRPr="00032753">
        <w:rPr>
          <w:sz w:val="20"/>
          <w:szCs w:val="20"/>
        </w:rPr>
        <w:tab/>
      </w:r>
      <w:r w:rsidR="0071394D" w:rsidRPr="00032753">
        <w:rPr>
          <w:sz w:val="20"/>
          <w:szCs w:val="20"/>
        </w:rPr>
        <w:tab/>
      </w:r>
      <w:r w:rsidR="008F17B7">
        <w:rPr>
          <w:sz w:val="20"/>
          <w:szCs w:val="20"/>
        </w:rPr>
        <w:t xml:space="preserve">             </w:t>
      </w:r>
      <w:r w:rsidR="0071394D" w:rsidRPr="00032753">
        <w:rPr>
          <w:sz w:val="20"/>
          <w:szCs w:val="20"/>
        </w:rPr>
        <w:t xml:space="preserve"> Grodków, dnia </w:t>
      </w:r>
      <w:r w:rsidR="000E74CB">
        <w:rPr>
          <w:sz w:val="20"/>
          <w:szCs w:val="20"/>
        </w:rPr>
        <w:t>27.05.2026</w:t>
      </w:r>
    </w:p>
    <w:sectPr w:rsidR="00676C4F" w:rsidRPr="00032753" w:rsidSect="00DD3A3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CEB3" w14:textId="77777777" w:rsidR="00F13B1F" w:rsidRDefault="00F13B1F" w:rsidP="00DD3A3E">
      <w:pPr>
        <w:spacing w:after="0" w:line="240" w:lineRule="auto"/>
      </w:pPr>
      <w:r>
        <w:separator/>
      </w:r>
    </w:p>
  </w:endnote>
  <w:endnote w:type="continuationSeparator" w:id="0">
    <w:p w14:paraId="70C93CA3" w14:textId="77777777" w:rsidR="00F13B1F" w:rsidRDefault="00F13B1F" w:rsidP="00DD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3551" w14:textId="77777777" w:rsidR="00371A85" w:rsidRDefault="00371A8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6486">
      <w:rPr>
        <w:noProof/>
      </w:rPr>
      <w:t>2</w:t>
    </w:r>
    <w:r>
      <w:fldChar w:fldCharType="end"/>
    </w:r>
  </w:p>
  <w:p w14:paraId="0EE62E15" w14:textId="77777777" w:rsidR="00DD3A3E" w:rsidRDefault="00DD3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E8B3" w14:textId="77777777" w:rsidR="00F13B1F" w:rsidRDefault="00F13B1F" w:rsidP="00DD3A3E">
      <w:pPr>
        <w:spacing w:after="0" w:line="240" w:lineRule="auto"/>
      </w:pPr>
      <w:r>
        <w:separator/>
      </w:r>
    </w:p>
  </w:footnote>
  <w:footnote w:type="continuationSeparator" w:id="0">
    <w:p w14:paraId="5C03293F" w14:textId="77777777" w:rsidR="00F13B1F" w:rsidRDefault="00F13B1F" w:rsidP="00DD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2E6"/>
    <w:multiLevelType w:val="hybridMultilevel"/>
    <w:tmpl w:val="23A25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1D92"/>
    <w:multiLevelType w:val="hybridMultilevel"/>
    <w:tmpl w:val="028893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2" w15:restartNumberingAfterBreak="0">
    <w:nsid w:val="09193742"/>
    <w:multiLevelType w:val="hybridMultilevel"/>
    <w:tmpl w:val="BB2C1B18"/>
    <w:lvl w:ilvl="0" w:tplc="AD2E2E6E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3" w15:restartNumberingAfterBreak="0">
    <w:nsid w:val="09937530"/>
    <w:multiLevelType w:val="hybridMultilevel"/>
    <w:tmpl w:val="91A27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3E6A"/>
    <w:multiLevelType w:val="hybridMultilevel"/>
    <w:tmpl w:val="5D48FE76"/>
    <w:lvl w:ilvl="0" w:tplc="C14AC0C8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5" w15:restartNumberingAfterBreak="0">
    <w:nsid w:val="13A67B6A"/>
    <w:multiLevelType w:val="hybridMultilevel"/>
    <w:tmpl w:val="9D007844"/>
    <w:lvl w:ilvl="0" w:tplc="5792F9D2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6" w15:restartNumberingAfterBreak="0">
    <w:nsid w:val="17750BF3"/>
    <w:multiLevelType w:val="hybridMultilevel"/>
    <w:tmpl w:val="202A5C82"/>
    <w:lvl w:ilvl="0" w:tplc="27C89800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26BB0"/>
    <w:multiLevelType w:val="hybridMultilevel"/>
    <w:tmpl w:val="AD2623E2"/>
    <w:lvl w:ilvl="0" w:tplc="28383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1655F1"/>
    <w:multiLevelType w:val="hybridMultilevel"/>
    <w:tmpl w:val="BED0D1F6"/>
    <w:lvl w:ilvl="0" w:tplc="BA18ABD0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9" w15:restartNumberingAfterBreak="0">
    <w:nsid w:val="202E492E"/>
    <w:multiLevelType w:val="hybridMultilevel"/>
    <w:tmpl w:val="1034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2456E"/>
    <w:multiLevelType w:val="hybridMultilevel"/>
    <w:tmpl w:val="B148B150"/>
    <w:lvl w:ilvl="0" w:tplc="0415000F">
      <w:start w:val="1"/>
      <w:numFmt w:val="decimal"/>
      <w:lvlText w:val="%1."/>
      <w:lvlJc w:val="left"/>
      <w:pPr>
        <w:ind w:left="215" w:hanging="360"/>
      </w:pPr>
    </w:lvl>
    <w:lvl w:ilvl="1" w:tplc="04150019" w:tentative="1">
      <w:start w:val="1"/>
      <w:numFmt w:val="lowerLetter"/>
      <w:lvlText w:val="%2."/>
      <w:lvlJc w:val="left"/>
      <w:pPr>
        <w:ind w:left="935" w:hanging="360"/>
      </w:pPr>
    </w:lvl>
    <w:lvl w:ilvl="2" w:tplc="0415001B" w:tentative="1">
      <w:start w:val="1"/>
      <w:numFmt w:val="lowerRoman"/>
      <w:lvlText w:val="%3."/>
      <w:lvlJc w:val="right"/>
      <w:pPr>
        <w:ind w:left="1655" w:hanging="180"/>
      </w:pPr>
    </w:lvl>
    <w:lvl w:ilvl="3" w:tplc="0415000F" w:tentative="1">
      <w:start w:val="1"/>
      <w:numFmt w:val="decimal"/>
      <w:lvlText w:val="%4."/>
      <w:lvlJc w:val="left"/>
      <w:pPr>
        <w:ind w:left="2375" w:hanging="360"/>
      </w:pPr>
    </w:lvl>
    <w:lvl w:ilvl="4" w:tplc="04150019" w:tentative="1">
      <w:start w:val="1"/>
      <w:numFmt w:val="lowerLetter"/>
      <w:lvlText w:val="%5."/>
      <w:lvlJc w:val="left"/>
      <w:pPr>
        <w:ind w:left="3095" w:hanging="360"/>
      </w:pPr>
    </w:lvl>
    <w:lvl w:ilvl="5" w:tplc="0415001B" w:tentative="1">
      <w:start w:val="1"/>
      <w:numFmt w:val="lowerRoman"/>
      <w:lvlText w:val="%6."/>
      <w:lvlJc w:val="right"/>
      <w:pPr>
        <w:ind w:left="3815" w:hanging="180"/>
      </w:pPr>
    </w:lvl>
    <w:lvl w:ilvl="6" w:tplc="0415000F" w:tentative="1">
      <w:start w:val="1"/>
      <w:numFmt w:val="decimal"/>
      <w:lvlText w:val="%7."/>
      <w:lvlJc w:val="left"/>
      <w:pPr>
        <w:ind w:left="4535" w:hanging="360"/>
      </w:pPr>
    </w:lvl>
    <w:lvl w:ilvl="7" w:tplc="04150019" w:tentative="1">
      <w:start w:val="1"/>
      <w:numFmt w:val="lowerLetter"/>
      <w:lvlText w:val="%8."/>
      <w:lvlJc w:val="left"/>
      <w:pPr>
        <w:ind w:left="5255" w:hanging="360"/>
      </w:pPr>
    </w:lvl>
    <w:lvl w:ilvl="8" w:tplc="0415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11" w15:restartNumberingAfterBreak="0">
    <w:nsid w:val="27B33108"/>
    <w:multiLevelType w:val="hybridMultilevel"/>
    <w:tmpl w:val="8758B2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E2AFD"/>
    <w:multiLevelType w:val="hybridMultilevel"/>
    <w:tmpl w:val="287C76CE"/>
    <w:lvl w:ilvl="0" w:tplc="29C6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3" w15:restartNumberingAfterBreak="0">
    <w:nsid w:val="3023700A"/>
    <w:multiLevelType w:val="hybridMultilevel"/>
    <w:tmpl w:val="083E8398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4" w15:restartNumberingAfterBreak="0">
    <w:nsid w:val="359F4DBA"/>
    <w:multiLevelType w:val="hybridMultilevel"/>
    <w:tmpl w:val="CCF8D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12D7E"/>
    <w:multiLevelType w:val="hybridMultilevel"/>
    <w:tmpl w:val="EA682C32"/>
    <w:lvl w:ilvl="0" w:tplc="C62AA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D63A0E"/>
    <w:multiLevelType w:val="hybridMultilevel"/>
    <w:tmpl w:val="376C9D0E"/>
    <w:lvl w:ilvl="0" w:tplc="CB76E420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17" w15:restartNumberingAfterBreak="0">
    <w:nsid w:val="430C5744"/>
    <w:multiLevelType w:val="hybridMultilevel"/>
    <w:tmpl w:val="241CC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F5751"/>
    <w:multiLevelType w:val="hybridMultilevel"/>
    <w:tmpl w:val="B17A3C00"/>
    <w:lvl w:ilvl="0" w:tplc="27C89800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19" w15:restartNumberingAfterBreak="0">
    <w:nsid w:val="4DCE0DD7"/>
    <w:multiLevelType w:val="hybridMultilevel"/>
    <w:tmpl w:val="515ED7D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9C6035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F456294"/>
    <w:multiLevelType w:val="hybridMultilevel"/>
    <w:tmpl w:val="02889300"/>
    <w:lvl w:ilvl="0" w:tplc="29C6035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6507C44"/>
    <w:multiLevelType w:val="hybridMultilevel"/>
    <w:tmpl w:val="EA682C32"/>
    <w:lvl w:ilvl="0" w:tplc="C62AAB16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22" w15:restartNumberingAfterBreak="0">
    <w:nsid w:val="5A5358B3"/>
    <w:multiLevelType w:val="hybridMultilevel"/>
    <w:tmpl w:val="786C453A"/>
    <w:lvl w:ilvl="0" w:tplc="A18298C0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23" w15:restartNumberingAfterBreak="0">
    <w:nsid w:val="5FEA5635"/>
    <w:multiLevelType w:val="hybridMultilevel"/>
    <w:tmpl w:val="69B234A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2CF5CEE"/>
    <w:multiLevelType w:val="hybridMultilevel"/>
    <w:tmpl w:val="D8DADB0A"/>
    <w:lvl w:ilvl="0" w:tplc="04150017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64210FC4"/>
    <w:multiLevelType w:val="hybridMultilevel"/>
    <w:tmpl w:val="F0383EEE"/>
    <w:lvl w:ilvl="0" w:tplc="27C89800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41A22"/>
    <w:multiLevelType w:val="hybridMultilevel"/>
    <w:tmpl w:val="F4586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FCBB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d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D855566"/>
    <w:multiLevelType w:val="hybridMultilevel"/>
    <w:tmpl w:val="F7BEB68E"/>
    <w:lvl w:ilvl="0" w:tplc="A2BA25E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 w15:restartNumberingAfterBreak="0">
    <w:nsid w:val="71D26779"/>
    <w:multiLevelType w:val="hybridMultilevel"/>
    <w:tmpl w:val="B7CA402A"/>
    <w:lvl w:ilvl="0" w:tplc="500657AC">
      <w:start w:val="1"/>
      <w:numFmt w:val="decimal"/>
      <w:lvlText w:val="%1."/>
      <w:lvlJc w:val="left"/>
      <w:pPr>
        <w:ind w:left="-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" w:hanging="360"/>
      </w:pPr>
    </w:lvl>
    <w:lvl w:ilvl="2" w:tplc="0415001B" w:tentative="1">
      <w:start w:val="1"/>
      <w:numFmt w:val="lowerRoman"/>
      <w:lvlText w:val="%3."/>
      <w:lvlJc w:val="right"/>
      <w:pPr>
        <w:ind w:left="1295" w:hanging="180"/>
      </w:pPr>
    </w:lvl>
    <w:lvl w:ilvl="3" w:tplc="0415000F" w:tentative="1">
      <w:start w:val="1"/>
      <w:numFmt w:val="decimal"/>
      <w:lvlText w:val="%4."/>
      <w:lvlJc w:val="left"/>
      <w:pPr>
        <w:ind w:left="2015" w:hanging="360"/>
      </w:pPr>
    </w:lvl>
    <w:lvl w:ilvl="4" w:tplc="04150019" w:tentative="1">
      <w:start w:val="1"/>
      <w:numFmt w:val="lowerLetter"/>
      <w:lvlText w:val="%5."/>
      <w:lvlJc w:val="left"/>
      <w:pPr>
        <w:ind w:left="2735" w:hanging="360"/>
      </w:pPr>
    </w:lvl>
    <w:lvl w:ilvl="5" w:tplc="0415001B" w:tentative="1">
      <w:start w:val="1"/>
      <w:numFmt w:val="lowerRoman"/>
      <w:lvlText w:val="%6."/>
      <w:lvlJc w:val="right"/>
      <w:pPr>
        <w:ind w:left="3455" w:hanging="180"/>
      </w:pPr>
    </w:lvl>
    <w:lvl w:ilvl="6" w:tplc="0415000F" w:tentative="1">
      <w:start w:val="1"/>
      <w:numFmt w:val="decimal"/>
      <w:lvlText w:val="%7."/>
      <w:lvlJc w:val="left"/>
      <w:pPr>
        <w:ind w:left="4175" w:hanging="360"/>
      </w:pPr>
    </w:lvl>
    <w:lvl w:ilvl="7" w:tplc="04150019" w:tentative="1">
      <w:start w:val="1"/>
      <w:numFmt w:val="lowerLetter"/>
      <w:lvlText w:val="%8."/>
      <w:lvlJc w:val="left"/>
      <w:pPr>
        <w:ind w:left="4895" w:hanging="360"/>
      </w:pPr>
    </w:lvl>
    <w:lvl w:ilvl="8" w:tplc="0415001B" w:tentative="1">
      <w:start w:val="1"/>
      <w:numFmt w:val="lowerRoman"/>
      <w:lvlText w:val="%9."/>
      <w:lvlJc w:val="right"/>
      <w:pPr>
        <w:ind w:left="5615" w:hanging="180"/>
      </w:pPr>
    </w:lvl>
  </w:abstractNum>
  <w:abstractNum w:abstractNumId="29" w15:restartNumberingAfterBreak="0">
    <w:nsid w:val="73A84FBE"/>
    <w:multiLevelType w:val="hybridMultilevel"/>
    <w:tmpl w:val="C7629AF0"/>
    <w:lvl w:ilvl="0" w:tplc="368C06C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29C6035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7DC41024"/>
    <w:multiLevelType w:val="hybridMultilevel"/>
    <w:tmpl w:val="AB4C2826"/>
    <w:lvl w:ilvl="0" w:tplc="219CD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5322A"/>
    <w:multiLevelType w:val="hybridMultilevel"/>
    <w:tmpl w:val="A1A6F7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3643">
    <w:abstractNumId w:val="28"/>
  </w:num>
  <w:num w:numId="2" w16cid:durableId="20322488">
    <w:abstractNumId w:val="22"/>
  </w:num>
  <w:num w:numId="3" w16cid:durableId="1504737587">
    <w:abstractNumId w:val="4"/>
  </w:num>
  <w:num w:numId="4" w16cid:durableId="1408696928">
    <w:abstractNumId w:val="8"/>
  </w:num>
  <w:num w:numId="5" w16cid:durableId="298146917">
    <w:abstractNumId w:val="16"/>
  </w:num>
  <w:num w:numId="6" w16cid:durableId="140855281">
    <w:abstractNumId w:val="21"/>
  </w:num>
  <w:num w:numId="7" w16cid:durableId="2075853311">
    <w:abstractNumId w:val="2"/>
  </w:num>
  <w:num w:numId="8" w16cid:durableId="1579168227">
    <w:abstractNumId w:val="29"/>
  </w:num>
  <w:num w:numId="9" w16cid:durableId="1601794650">
    <w:abstractNumId w:val="20"/>
  </w:num>
  <w:num w:numId="10" w16cid:durableId="52507634">
    <w:abstractNumId w:val="18"/>
  </w:num>
  <w:num w:numId="11" w16cid:durableId="1136141474">
    <w:abstractNumId w:val="6"/>
  </w:num>
  <w:num w:numId="12" w16cid:durableId="2136750295">
    <w:abstractNumId w:val="25"/>
  </w:num>
  <w:num w:numId="13" w16cid:durableId="1704086706">
    <w:abstractNumId w:val="10"/>
  </w:num>
  <w:num w:numId="14" w16cid:durableId="386681497">
    <w:abstractNumId w:val="26"/>
  </w:num>
  <w:num w:numId="15" w16cid:durableId="146023071">
    <w:abstractNumId w:val="13"/>
  </w:num>
  <w:num w:numId="16" w16cid:durableId="619527773">
    <w:abstractNumId w:val="9"/>
  </w:num>
  <w:num w:numId="17" w16cid:durableId="84545384">
    <w:abstractNumId w:val="5"/>
  </w:num>
  <w:num w:numId="18" w16cid:durableId="1098405347">
    <w:abstractNumId w:val="11"/>
  </w:num>
  <w:num w:numId="19" w16cid:durableId="7413156">
    <w:abstractNumId w:val="12"/>
  </w:num>
  <w:num w:numId="20" w16cid:durableId="1375811112">
    <w:abstractNumId w:val="3"/>
  </w:num>
  <w:num w:numId="21" w16cid:durableId="1399784891">
    <w:abstractNumId w:val="0"/>
  </w:num>
  <w:num w:numId="22" w16cid:durableId="29038507">
    <w:abstractNumId w:val="19"/>
  </w:num>
  <w:num w:numId="23" w16cid:durableId="2112629646">
    <w:abstractNumId w:val="12"/>
  </w:num>
  <w:num w:numId="24" w16cid:durableId="656304211">
    <w:abstractNumId w:val="15"/>
  </w:num>
  <w:num w:numId="25" w16cid:durableId="1483304176">
    <w:abstractNumId w:val="14"/>
  </w:num>
  <w:num w:numId="26" w16cid:durableId="226307140">
    <w:abstractNumId w:val="31"/>
  </w:num>
  <w:num w:numId="27" w16cid:durableId="203640590">
    <w:abstractNumId w:val="27"/>
  </w:num>
  <w:num w:numId="28" w16cid:durableId="1183399839">
    <w:abstractNumId w:val="7"/>
  </w:num>
  <w:num w:numId="29" w16cid:durableId="7577558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541445">
    <w:abstractNumId w:val="30"/>
  </w:num>
  <w:num w:numId="31" w16cid:durableId="1492477314">
    <w:abstractNumId w:val="17"/>
  </w:num>
  <w:num w:numId="32" w16cid:durableId="1923753702">
    <w:abstractNumId w:val="24"/>
  </w:num>
  <w:num w:numId="33" w16cid:durableId="23632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BAC"/>
    <w:rsid w:val="000255C5"/>
    <w:rsid w:val="000311BA"/>
    <w:rsid w:val="0003248F"/>
    <w:rsid w:val="00032753"/>
    <w:rsid w:val="00042488"/>
    <w:rsid w:val="00090098"/>
    <w:rsid w:val="00093167"/>
    <w:rsid w:val="000A4F9C"/>
    <w:rsid w:val="000B658E"/>
    <w:rsid w:val="000C26A9"/>
    <w:rsid w:val="000D4F2A"/>
    <w:rsid w:val="000E74CB"/>
    <w:rsid w:val="00133C38"/>
    <w:rsid w:val="00171BFF"/>
    <w:rsid w:val="001B098C"/>
    <w:rsid w:val="001B2060"/>
    <w:rsid w:val="001C4F31"/>
    <w:rsid w:val="001D71A0"/>
    <w:rsid w:val="001E798D"/>
    <w:rsid w:val="001F0FF6"/>
    <w:rsid w:val="00200CE9"/>
    <w:rsid w:val="0021568F"/>
    <w:rsid w:val="00217FB9"/>
    <w:rsid w:val="002474CB"/>
    <w:rsid w:val="00250E5F"/>
    <w:rsid w:val="00256165"/>
    <w:rsid w:val="00260D04"/>
    <w:rsid w:val="002664AB"/>
    <w:rsid w:val="00283136"/>
    <w:rsid w:val="002A1BDB"/>
    <w:rsid w:val="002D0DD0"/>
    <w:rsid w:val="00300823"/>
    <w:rsid w:val="00302661"/>
    <w:rsid w:val="00305608"/>
    <w:rsid w:val="003141AF"/>
    <w:rsid w:val="00360459"/>
    <w:rsid w:val="00371A85"/>
    <w:rsid w:val="00375D8A"/>
    <w:rsid w:val="003819E1"/>
    <w:rsid w:val="003932C1"/>
    <w:rsid w:val="00394D73"/>
    <w:rsid w:val="00396232"/>
    <w:rsid w:val="003A1A17"/>
    <w:rsid w:val="003A3097"/>
    <w:rsid w:val="003C29E1"/>
    <w:rsid w:val="003C66EF"/>
    <w:rsid w:val="003C7C4D"/>
    <w:rsid w:val="003D60AB"/>
    <w:rsid w:val="003D6FB7"/>
    <w:rsid w:val="003E50C7"/>
    <w:rsid w:val="003E7C4F"/>
    <w:rsid w:val="003F3667"/>
    <w:rsid w:val="00404ADC"/>
    <w:rsid w:val="0040608B"/>
    <w:rsid w:val="0042481C"/>
    <w:rsid w:val="00437E24"/>
    <w:rsid w:val="0044142B"/>
    <w:rsid w:val="00461C06"/>
    <w:rsid w:val="00465C8A"/>
    <w:rsid w:val="00470ECE"/>
    <w:rsid w:val="00480C1D"/>
    <w:rsid w:val="004A62CA"/>
    <w:rsid w:val="004B7280"/>
    <w:rsid w:val="00500E6B"/>
    <w:rsid w:val="00515276"/>
    <w:rsid w:val="0052536D"/>
    <w:rsid w:val="00530297"/>
    <w:rsid w:val="0053368D"/>
    <w:rsid w:val="0054415A"/>
    <w:rsid w:val="00546778"/>
    <w:rsid w:val="00555166"/>
    <w:rsid w:val="00567887"/>
    <w:rsid w:val="00570EFE"/>
    <w:rsid w:val="005809B8"/>
    <w:rsid w:val="00582B8C"/>
    <w:rsid w:val="00593985"/>
    <w:rsid w:val="005B0DA9"/>
    <w:rsid w:val="005B1B67"/>
    <w:rsid w:val="005C0410"/>
    <w:rsid w:val="005D2246"/>
    <w:rsid w:val="005F766D"/>
    <w:rsid w:val="006009EB"/>
    <w:rsid w:val="00610C36"/>
    <w:rsid w:val="006258B4"/>
    <w:rsid w:val="006401B8"/>
    <w:rsid w:val="00660D0B"/>
    <w:rsid w:val="00667F50"/>
    <w:rsid w:val="00675F9B"/>
    <w:rsid w:val="00676C4F"/>
    <w:rsid w:val="00677CC7"/>
    <w:rsid w:val="00680935"/>
    <w:rsid w:val="006819A6"/>
    <w:rsid w:val="00697CB1"/>
    <w:rsid w:val="006A12E2"/>
    <w:rsid w:val="006C0C93"/>
    <w:rsid w:val="006D2F53"/>
    <w:rsid w:val="006D7798"/>
    <w:rsid w:val="0071394D"/>
    <w:rsid w:val="0072321D"/>
    <w:rsid w:val="00734846"/>
    <w:rsid w:val="00741C05"/>
    <w:rsid w:val="007807A2"/>
    <w:rsid w:val="007C1B51"/>
    <w:rsid w:val="007D1596"/>
    <w:rsid w:val="007F26FD"/>
    <w:rsid w:val="007F3430"/>
    <w:rsid w:val="00801347"/>
    <w:rsid w:val="0080284F"/>
    <w:rsid w:val="00814A88"/>
    <w:rsid w:val="00822798"/>
    <w:rsid w:val="008243D7"/>
    <w:rsid w:val="008264D9"/>
    <w:rsid w:val="0083326D"/>
    <w:rsid w:val="00841294"/>
    <w:rsid w:val="00846486"/>
    <w:rsid w:val="008468A8"/>
    <w:rsid w:val="00853BAE"/>
    <w:rsid w:val="00857BAC"/>
    <w:rsid w:val="00861B49"/>
    <w:rsid w:val="0087772C"/>
    <w:rsid w:val="00882A06"/>
    <w:rsid w:val="008846C4"/>
    <w:rsid w:val="008B3F46"/>
    <w:rsid w:val="008C12F3"/>
    <w:rsid w:val="008F17B7"/>
    <w:rsid w:val="009053F6"/>
    <w:rsid w:val="00910CC7"/>
    <w:rsid w:val="009226B6"/>
    <w:rsid w:val="00954055"/>
    <w:rsid w:val="00956474"/>
    <w:rsid w:val="0097540C"/>
    <w:rsid w:val="009913DA"/>
    <w:rsid w:val="009A729C"/>
    <w:rsid w:val="009F54F0"/>
    <w:rsid w:val="009F7091"/>
    <w:rsid w:val="00A12509"/>
    <w:rsid w:val="00A15388"/>
    <w:rsid w:val="00A20173"/>
    <w:rsid w:val="00A40D34"/>
    <w:rsid w:val="00A426A2"/>
    <w:rsid w:val="00A53088"/>
    <w:rsid w:val="00A56298"/>
    <w:rsid w:val="00A6671C"/>
    <w:rsid w:val="00A67C66"/>
    <w:rsid w:val="00A8209E"/>
    <w:rsid w:val="00A90440"/>
    <w:rsid w:val="00A97507"/>
    <w:rsid w:val="00AB531C"/>
    <w:rsid w:val="00AB76BF"/>
    <w:rsid w:val="00AC6641"/>
    <w:rsid w:val="00AC6AEC"/>
    <w:rsid w:val="00AD2966"/>
    <w:rsid w:val="00AD7926"/>
    <w:rsid w:val="00AE2D6C"/>
    <w:rsid w:val="00B016BA"/>
    <w:rsid w:val="00B06A04"/>
    <w:rsid w:val="00B12175"/>
    <w:rsid w:val="00B135FA"/>
    <w:rsid w:val="00B34437"/>
    <w:rsid w:val="00B44CB4"/>
    <w:rsid w:val="00B45E30"/>
    <w:rsid w:val="00B71638"/>
    <w:rsid w:val="00B900B3"/>
    <w:rsid w:val="00BB2922"/>
    <w:rsid w:val="00BB3AD8"/>
    <w:rsid w:val="00BD34AA"/>
    <w:rsid w:val="00BE50CD"/>
    <w:rsid w:val="00C02EF4"/>
    <w:rsid w:val="00C03520"/>
    <w:rsid w:val="00C17457"/>
    <w:rsid w:val="00C46446"/>
    <w:rsid w:val="00C805ED"/>
    <w:rsid w:val="00C8283C"/>
    <w:rsid w:val="00C856BD"/>
    <w:rsid w:val="00CA20DA"/>
    <w:rsid w:val="00CA4B95"/>
    <w:rsid w:val="00CC0C16"/>
    <w:rsid w:val="00CF38B7"/>
    <w:rsid w:val="00D05226"/>
    <w:rsid w:val="00D23A6A"/>
    <w:rsid w:val="00D25977"/>
    <w:rsid w:val="00D25F38"/>
    <w:rsid w:val="00D46432"/>
    <w:rsid w:val="00D75C39"/>
    <w:rsid w:val="00D84A18"/>
    <w:rsid w:val="00D86939"/>
    <w:rsid w:val="00D86A56"/>
    <w:rsid w:val="00D903A8"/>
    <w:rsid w:val="00D9379F"/>
    <w:rsid w:val="00DA7FC8"/>
    <w:rsid w:val="00DB2327"/>
    <w:rsid w:val="00DD3A3E"/>
    <w:rsid w:val="00DD4ECD"/>
    <w:rsid w:val="00DD6E28"/>
    <w:rsid w:val="00DE0ABE"/>
    <w:rsid w:val="00DE4E72"/>
    <w:rsid w:val="00DF586A"/>
    <w:rsid w:val="00E202AF"/>
    <w:rsid w:val="00E45E96"/>
    <w:rsid w:val="00E745DD"/>
    <w:rsid w:val="00E94240"/>
    <w:rsid w:val="00EA22B2"/>
    <w:rsid w:val="00EC3743"/>
    <w:rsid w:val="00ED1388"/>
    <w:rsid w:val="00ED53FF"/>
    <w:rsid w:val="00EE170B"/>
    <w:rsid w:val="00F0271F"/>
    <w:rsid w:val="00F0675F"/>
    <w:rsid w:val="00F1181C"/>
    <w:rsid w:val="00F13B1F"/>
    <w:rsid w:val="00F41EA7"/>
    <w:rsid w:val="00F44F92"/>
    <w:rsid w:val="00F70EBA"/>
    <w:rsid w:val="00F805C9"/>
    <w:rsid w:val="00F94897"/>
    <w:rsid w:val="00FD4342"/>
    <w:rsid w:val="00FD784D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E8D"/>
  <w15:docId w15:val="{1864A114-5971-4B3C-9ACD-6E09D7E8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327"/>
    <w:pPr>
      <w:spacing w:after="200" w:line="360" w:lineRule="auto"/>
      <w:ind w:left="-505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D1388"/>
    <w:pPr>
      <w:keepNext/>
      <w:spacing w:after="0" w:line="240" w:lineRule="auto"/>
      <w:ind w:left="0"/>
      <w:outlineLvl w:val="2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ED1388"/>
    <w:rPr>
      <w:rFonts w:ascii="Arial" w:eastAsia="Times New Roman" w:hAnsi="Arial"/>
      <w:b/>
      <w:sz w:val="24"/>
      <w:u w:val="single"/>
    </w:rPr>
  </w:style>
  <w:style w:type="paragraph" w:styleId="Tekstpodstawowy">
    <w:name w:val="Body Text"/>
    <w:aliases w:val="LOAN,(F2)"/>
    <w:basedOn w:val="Normalny"/>
    <w:link w:val="TekstpodstawowyZnak"/>
    <w:rsid w:val="00ED1388"/>
    <w:pPr>
      <w:spacing w:after="0" w:line="240" w:lineRule="auto"/>
      <w:ind w:left="0"/>
      <w:jc w:val="center"/>
    </w:pPr>
    <w:rPr>
      <w:rFonts w:ascii="Bookman Old Style" w:eastAsia="Times New Roman" w:hAnsi="Bookman Old Style"/>
      <w:b/>
      <w:sz w:val="52"/>
      <w:szCs w:val="20"/>
      <w:lang w:eastAsia="pl-PL"/>
    </w:rPr>
  </w:style>
  <w:style w:type="character" w:customStyle="1" w:styleId="TekstpodstawowyZnak">
    <w:name w:val="Tekst podstawowy Znak"/>
    <w:aliases w:val="LOAN Znak,(F2) Znak"/>
    <w:link w:val="Tekstpodstawowy"/>
    <w:rsid w:val="00ED1388"/>
    <w:rPr>
      <w:rFonts w:ascii="Bookman Old Style" w:eastAsia="Times New Roman" w:hAnsi="Bookman Old Style"/>
      <w:b/>
      <w:sz w:val="52"/>
    </w:rPr>
  </w:style>
  <w:style w:type="paragraph" w:styleId="Nagwek">
    <w:name w:val="header"/>
    <w:basedOn w:val="Normalny"/>
    <w:link w:val="NagwekZnak"/>
    <w:uiPriority w:val="99"/>
    <w:unhideWhenUsed/>
    <w:rsid w:val="00DD3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3A3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3A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D3A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3F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9226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6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6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6B6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6B6"/>
    <w:rPr>
      <w:b/>
      <w:bCs/>
      <w:lang w:eastAsia="en-US"/>
    </w:rPr>
  </w:style>
  <w:style w:type="paragraph" w:styleId="Poprawka">
    <w:name w:val="Revision"/>
    <w:hidden/>
    <w:uiPriority w:val="99"/>
    <w:semiHidden/>
    <w:rsid w:val="009226B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258B4"/>
    <w:pPr>
      <w:ind w:left="720"/>
      <w:contextualSpacing/>
    </w:pPr>
  </w:style>
  <w:style w:type="paragraph" w:customStyle="1" w:styleId="Default">
    <w:name w:val="Default"/>
    <w:rsid w:val="00D75C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5B0DA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44C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B7712A67F24CA9109F2ECD5E91BC" ma:contentTypeVersion="0" ma:contentTypeDescription="Utwórz nowy dokument." ma:contentTypeScope="" ma:versionID="9b4127550337103cad4c9c78e46542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512EA-EB88-4F47-928F-135973B59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28B947-A65C-43C0-AB73-08A775745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2CA29-3C12-4E34-B5D7-5D9B868F22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1739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Błaszak</dc:creator>
  <cp:lastModifiedBy>Alicja Kociubińska</cp:lastModifiedBy>
  <cp:revision>52</cp:revision>
  <cp:lastPrinted>2026-05-26T13:19:00Z</cp:lastPrinted>
  <dcterms:created xsi:type="dcterms:W3CDTF">2021-12-07T12:07:00Z</dcterms:created>
  <dcterms:modified xsi:type="dcterms:W3CDTF">2026-05-26T13:19:00Z</dcterms:modified>
</cp:coreProperties>
</file>